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DFBF7" w14:textId="2712D5FB" w:rsidR="00965249" w:rsidRPr="00A4431C" w:rsidRDefault="00965249" w:rsidP="00575FDF">
      <w:pPr>
        <w:shd w:val="clear" w:color="auto" w:fill="D9D9D9"/>
        <w:jc w:val="center"/>
        <w:rPr>
          <w:rFonts w:ascii="Gill Sans MT" w:hAnsi="Gill Sans MT"/>
          <w:b/>
          <w:sz w:val="24"/>
          <w:szCs w:val="24"/>
        </w:rPr>
      </w:pPr>
      <w:r w:rsidRPr="00B160B8">
        <w:rPr>
          <w:b/>
          <w:noProof/>
          <w:shd w:val="clear" w:color="auto" w:fill="D9D9D9"/>
        </w:rPr>
        <w:drawing>
          <wp:anchor distT="0" distB="0" distL="114935" distR="114935" simplePos="0" relativeHeight="251659264" behindDoc="1" locked="0" layoutInCell="1" allowOverlap="1" wp14:anchorId="67AB85EE" wp14:editId="27EB1BA1">
            <wp:simplePos x="0" y="0"/>
            <wp:positionH relativeFrom="column">
              <wp:posOffset>7357745</wp:posOffset>
            </wp:positionH>
            <wp:positionV relativeFrom="paragraph">
              <wp:posOffset>17780</wp:posOffset>
            </wp:positionV>
            <wp:extent cx="2724150" cy="541020"/>
            <wp:effectExtent l="0" t="0" r="0" b="0"/>
            <wp:wrapNone/>
            <wp:docPr id="20557457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4150" cy="5410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160B8">
        <w:rPr>
          <w:rFonts w:ascii="Gill Sans MT" w:hAnsi="Gill Sans MT"/>
          <w:b/>
          <w:sz w:val="24"/>
          <w:szCs w:val="24"/>
          <w:shd w:val="clear" w:color="auto" w:fill="D9D9D9"/>
        </w:rPr>
        <w:t>INVITATION TO BID FOR CONSULTANCY</w:t>
      </w:r>
    </w:p>
    <w:p w14:paraId="76F7F9E9" w14:textId="6F9E2834" w:rsidR="00965249" w:rsidRPr="00CE0944" w:rsidRDefault="00965249" w:rsidP="00965249">
      <w:pPr>
        <w:shd w:val="clear" w:color="auto" w:fill="FFFFFF"/>
        <w:jc w:val="center"/>
        <w:rPr>
          <w:rFonts w:ascii="Gill Sans MT" w:hAnsi="Gill Sans MT"/>
          <w:b/>
          <w:sz w:val="24"/>
          <w:szCs w:val="24"/>
        </w:rPr>
      </w:pPr>
      <w:r>
        <w:rPr>
          <w:rFonts w:ascii="Gill Sans MT" w:hAnsi="Gill Sans MT"/>
          <w:sz w:val="24"/>
          <w:szCs w:val="24"/>
        </w:rPr>
        <w:t>Save the Children International (SCI) Somaliland program hereby invites interested consultants to bid for the consultancy assignment detailed below</w:t>
      </w:r>
    </w:p>
    <w:tbl>
      <w:tblPr>
        <w:tblpPr w:leftFromText="180" w:rightFromText="180" w:vertAnchor="text" w:tblpXSpec="right" w:tblpY="1"/>
        <w:tblOverlap w:val="neve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45"/>
        <w:gridCol w:w="70"/>
        <w:gridCol w:w="4527"/>
        <w:gridCol w:w="3053"/>
      </w:tblGrid>
      <w:tr w:rsidR="00472275" w:rsidRPr="002660A2" w14:paraId="143027D4" w14:textId="77777777" w:rsidTr="006403BD">
        <w:trPr>
          <w:trHeight w:val="472"/>
        </w:trPr>
        <w:tc>
          <w:tcPr>
            <w:tcW w:w="540" w:type="dxa"/>
            <w:shd w:val="clear" w:color="auto" w:fill="F2F2F2"/>
          </w:tcPr>
          <w:p w14:paraId="75FF71AD" w14:textId="77777777" w:rsidR="00B7426D" w:rsidRPr="002660A2" w:rsidRDefault="00B7426D" w:rsidP="003D283C">
            <w:pPr>
              <w:spacing w:line="240" w:lineRule="auto"/>
              <w:rPr>
                <w:rFonts w:ascii="Lato" w:hAnsi="Lato" w:cs="Arial"/>
                <w:color w:val="000000" w:themeColor="text1"/>
                <w:sz w:val="20"/>
                <w:szCs w:val="20"/>
              </w:rPr>
            </w:pPr>
            <w:r w:rsidRPr="002660A2">
              <w:rPr>
                <w:rFonts w:ascii="Lato" w:hAnsi="Lato" w:cs="Arial"/>
                <w:color w:val="000000" w:themeColor="text1"/>
                <w:sz w:val="20"/>
                <w:szCs w:val="20"/>
              </w:rPr>
              <w:t>1</w:t>
            </w:r>
          </w:p>
        </w:tc>
        <w:tc>
          <w:tcPr>
            <w:tcW w:w="2245" w:type="dxa"/>
            <w:shd w:val="clear" w:color="auto" w:fill="F2F2F2"/>
          </w:tcPr>
          <w:p w14:paraId="63B8E90A" w14:textId="77777777" w:rsidR="00B7426D" w:rsidRPr="002660A2" w:rsidRDefault="00B7426D" w:rsidP="003D283C">
            <w:pPr>
              <w:spacing w:line="240" w:lineRule="auto"/>
              <w:jc w:val="both"/>
              <w:rPr>
                <w:rFonts w:ascii="Lato" w:hAnsi="Lato" w:cs="Arial"/>
                <w:b/>
                <w:color w:val="000000" w:themeColor="text1"/>
                <w:sz w:val="20"/>
                <w:szCs w:val="20"/>
              </w:rPr>
            </w:pPr>
            <w:r w:rsidRPr="002660A2">
              <w:rPr>
                <w:rFonts w:ascii="Lato" w:hAnsi="Lato" w:cs="Arial"/>
                <w:b/>
                <w:color w:val="000000" w:themeColor="text1"/>
                <w:sz w:val="20"/>
                <w:szCs w:val="20"/>
              </w:rPr>
              <w:t>Title of Consultancy</w:t>
            </w:r>
          </w:p>
        </w:tc>
        <w:tc>
          <w:tcPr>
            <w:tcW w:w="7650" w:type="dxa"/>
            <w:gridSpan w:val="3"/>
          </w:tcPr>
          <w:p w14:paraId="3AEF94E7" w14:textId="6B351B06" w:rsidR="00B7426D" w:rsidRPr="007D0AE3" w:rsidRDefault="00727356" w:rsidP="003D283C">
            <w:pPr>
              <w:spacing w:after="0" w:line="240" w:lineRule="auto"/>
              <w:jc w:val="both"/>
              <w:rPr>
                <w:rFonts w:ascii="Lato" w:hAnsi="Lato" w:cs="Arial"/>
                <w:b/>
                <w:bCs/>
                <w:color w:val="000000" w:themeColor="text1"/>
                <w:sz w:val="20"/>
                <w:szCs w:val="20"/>
              </w:rPr>
            </w:pPr>
            <w:r w:rsidRPr="007D0AE3">
              <w:rPr>
                <w:b/>
                <w:bCs/>
                <w:sz w:val="20"/>
                <w:szCs w:val="20"/>
              </w:rPr>
              <w:t xml:space="preserve">Terms of Reference for </w:t>
            </w:r>
            <w:r w:rsidR="00541716" w:rsidRPr="007D0AE3">
              <w:rPr>
                <w:b/>
                <w:bCs/>
                <w:sz w:val="20"/>
                <w:szCs w:val="20"/>
              </w:rPr>
              <w:t>Consultancy</w:t>
            </w:r>
            <w:r w:rsidRPr="007D0AE3">
              <w:rPr>
                <w:b/>
                <w:bCs/>
                <w:sz w:val="20"/>
                <w:szCs w:val="20"/>
              </w:rPr>
              <w:t xml:space="preserve"> </w:t>
            </w:r>
            <w:r w:rsidR="007D4481" w:rsidRPr="007D0AE3">
              <w:rPr>
                <w:b/>
                <w:bCs/>
                <w:sz w:val="20"/>
                <w:szCs w:val="20"/>
              </w:rPr>
              <w:t xml:space="preserve">to </w:t>
            </w:r>
            <w:r w:rsidR="007D4481" w:rsidRPr="007D4481">
              <w:rPr>
                <w:b/>
                <w:bCs/>
                <w:sz w:val="20"/>
                <w:szCs w:val="20"/>
              </w:rPr>
              <w:t>Conduct Education Sector Analysis (ESA) 2026 and Develop of Education Sector Strategic Plan (ESSP) in 2027 to 2031</w:t>
            </w:r>
            <w:r w:rsidR="002C0CC0">
              <w:rPr>
                <w:b/>
                <w:bCs/>
                <w:sz w:val="20"/>
                <w:szCs w:val="20"/>
              </w:rPr>
              <w:t xml:space="preserve"> for Somaliland Ministry of Education and Science (</w:t>
            </w:r>
            <w:proofErr w:type="spellStart"/>
            <w:r w:rsidR="002C0CC0">
              <w:rPr>
                <w:b/>
                <w:bCs/>
                <w:sz w:val="20"/>
                <w:szCs w:val="20"/>
              </w:rPr>
              <w:t>MoES</w:t>
            </w:r>
            <w:proofErr w:type="spellEnd"/>
            <w:r w:rsidR="002C0CC0">
              <w:rPr>
                <w:b/>
                <w:bCs/>
                <w:sz w:val="20"/>
                <w:szCs w:val="20"/>
              </w:rPr>
              <w:t>)</w:t>
            </w:r>
            <w:r w:rsidR="007D4481" w:rsidRPr="007D4481">
              <w:rPr>
                <w:b/>
                <w:bCs/>
                <w:sz w:val="20"/>
                <w:szCs w:val="20"/>
              </w:rPr>
              <w:t>.</w:t>
            </w:r>
          </w:p>
        </w:tc>
      </w:tr>
      <w:tr w:rsidR="00472275" w:rsidRPr="002660A2" w14:paraId="29E05DEE" w14:textId="77777777" w:rsidTr="006403BD">
        <w:trPr>
          <w:trHeight w:val="269"/>
        </w:trPr>
        <w:tc>
          <w:tcPr>
            <w:tcW w:w="540" w:type="dxa"/>
            <w:shd w:val="clear" w:color="auto" w:fill="F2F2F2"/>
          </w:tcPr>
          <w:p w14:paraId="1674B58D" w14:textId="77777777" w:rsidR="00B7426D" w:rsidRPr="002660A2" w:rsidRDefault="00B7426D" w:rsidP="003D283C">
            <w:pPr>
              <w:spacing w:after="0" w:line="240" w:lineRule="auto"/>
              <w:rPr>
                <w:rFonts w:ascii="Lato" w:hAnsi="Lato" w:cs="Arial"/>
                <w:color w:val="000000" w:themeColor="text1"/>
                <w:sz w:val="20"/>
                <w:szCs w:val="20"/>
              </w:rPr>
            </w:pPr>
            <w:r w:rsidRPr="002660A2">
              <w:rPr>
                <w:rFonts w:ascii="Lato" w:hAnsi="Lato" w:cs="Arial"/>
                <w:color w:val="000000" w:themeColor="text1"/>
                <w:sz w:val="20"/>
                <w:szCs w:val="20"/>
              </w:rPr>
              <w:t>2</w:t>
            </w:r>
          </w:p>
        </w:tc>
        <w:tc>
          <w:tcPr>
            <w:tcW w:w="2245" w:type="dxa"/>
            <w:shd w:val="clear" w:color="auto" w:fill="F2F2F2"/>
          </w:tcPr>
          <w:p w14:paraId="1665AB48" w14:textId="77777777" w:rsidR="00B7426D" w:rsidRPr="002660A2" w:rsidRDefault="00B7426D" w:rsidP="003D283C">
            <w:pPr>
              <w:spacing w:after="0" w:line="240" w:lineRule="auto"/>
              <w:rPr>
                <w:rFonts w:ascii="Lato" w:hAnsi="Lato" w:cs="Arial"/>
                <w:b/>
                <w:color w:val="000000" w:themeColor="text1"/>
                <w:sz w:val="20"/>
                <w:szCs w:val="20"/>
              </w:rPr>
            </w:pPr>
            <w:r w:rsidRPr="002660A2">
              <w:rPr>
                <w:rFonts w:ascii="Lato" w:hAnsi="Lato" w:cs="Arial"/>
                <w:b/>
                <w:color w:val="000000" w:themeColor="text1"/>
                <w:sz w:val="20"/>
                <w:szCs w:val="20"/>
              </w:rPr>
              <w:t>SCI Contracting Office</w:t>
            </w:r>
          </w:p>
        </w:tc>
        <w:tc>
          <w:tcPr>
            <w:tcW w:w="7650" w:type="dxa"/>
            <w:gridSpan w:val="3"/>
          </w:tcPr>
          <w:p w14:paraId="5568A074" w14:textId="302AF33D" w:rsidR="00B7426D" w:rsidRPr="007D0AE3" w:rsidRDefault="00B7426D" w:rsidP="003D283C">
            <w:pPr>
              <w:pStyle w:val="NoSpacing"/>
              <w:rPr>
                <w:rFonts w:ascii="Lato" w:hAnsi="Lato" w:cs="Arial"/>
                <w:color w:val="000000" w:themeColor="text1"/>
                <w:sz w:val="20"/>
                <w:szCs w:val="20"/>
              </w:rPr>
            </w:pPr>
            <w:r w:rsidRPr="007D0AE3">
              <w:rPr>
                <w:rFonts w:ascii="Lato" w:hAnsi="Lato" w:cs="Arial"/>
                <w:color w:val="000000" w:themeColor="text1"/>
                <w:sz w:val="20"/>
                <w:szCs w:val="20"/>
              </w:rPr>
              <w:t xml:space="preserve">Save the Children </w:t>
            </w:r>
            <w:r w:rsidR="00760A0A">
              <w:rPr>
                <w:rFonts w:ascii="Lato" w:hAnsi="Lato" w:cs="Arial"/>
                <w:color w:val="000000" w:themeColor="text1"/>
                <w:sz w:val="20"/>
                <w:szCs w:val="20"/>
              </w:rPr>
              <w:t xml:space="preserve">in </w:t>
            </w:r>
            <w:r w:rsidRPr="007D0AE3">
              <w:rPr>
                <w:rFonts w:ascii="Lato" w:hAnsi="Lato" w:cs="Arial"/>
                <w:color w:val="000000" w:themeColor="text1"/>
                <w:sz w:val="20"/>
                <w:szCs w:val="20"/>
              </w:rPr>
              <w:t>Somali</w:t>
            </w:r>
            <w:r w:rsidR="00AE5083" w:rsidRPr="007D0AE3">
              <w:rPr>
                <w:rFonts w:ascii="Lato" w:hAnsi="Lato" w:cs="Arial"/>
                <w:color w:val="000000" w:themeColor="text1"/>
                <w:sz w:val="20"/>
                <w:szCs w:val="20"/>
              </w:rPr>
              <w:t xml:space="preserve">land </w:t>
            </w:r>
          </w:p>
        </w:tc>
      </w:tr>
      <w:tr w:rsidR="00472275" w:rsidRPr="002660A2" w14:paraId="46B74336" w14:textId="77777777" w:rsidTr="006403BD">
        <w:trPr>
          <w:trHeight w:val="50"/>
        </w:trPr>
        <w:tc>
          <w:tcPr>
            <w:tcW w:w="540" w:type="dxa"/>
            <w:shd w:val="clear" w:color="auto" w:fill="F2F2F2"/>
          </w:tcPr>
          <w:p w14:paraId="1F803A7F" w14:textId="77777777" w:rsidR="00B7426D" w:rsidRPr="002660A2" w:rsidRDefault="00B7426D" w:rsidP="003D283C">
            <w:pPr>
              <w:spacing w:after="0" w:line="240" w:lineRule="auto"/>
              <w:rPr>
                <w:rFonts w:ascii="Lato" w:hAnsi="Lato" w:cs="Arial"/>
                <w:color w:val="000000" w:themeColor="text1"/>
                <w:sz w:val="20"/>
                <w:szCs w:val="20"/>
              </w:rPr>
            </w:pPr>
            <w:r w:rsidRPr="002660A2">
              <w:rPr>
                <w:rFonts w:ascii="Lato" w:hAnsi="Lato" w:cs="Arial"/>
                <w:color w:val="000000" w:themeColor="text1"/>
                <w:sz w:val="20"/>
                <w:szCs w:val="20"/>
              </w:rPr>
              <w:t>3</w:t>
            </w:r>
          </w:p>
        </w:tc>
        <w:tc>
          <w:tcPr>
            <w:tcW w:w="2245" w:type="dxa"/>
            <w:shd w:val="clear" w:color="auto" w:fill="F2F2F2"/>
          </w:tcPr>
          <w:p w14:paraId="1550D51C" w14:textId="77777777" w:rsidR="00B7426D" w:rsidRPr="002660A2" w:rsidRDefault="00B7426D" w:rsidP="003D283C">
            <w:pPr>
              <w:spacing w:after="0" w:line="240" w:lineRule="auto"/>
              <w:rPr>
                <w:rFonts w:ascii="Lato" w:hAnsi="Lato" w:cs="Arial"/>
                <w:b/>
                <w:color w:val="000000" w:themeColor="text1"/>
                <w:sz w:val="20"/>
                <w:szCs w:val="20"/>
              </w:rPr>
            </w:pPr>
            <w:r w:rsidRPr="002660A2">
              <w:rPr>
                <w:rFonts w:ascii="Lato" w:hAnsi="Lato" w:cs="Arial"/>
                <w:b/>
                <w:color w:val="000000" w:themeColor="text1"/>
                <w:sz w:val="20"/>
                <w:szCs w:val="20"/>
              </w:rPr>
              <w:t>Period of Consultancy</w:t>
            </w:r>
          </w:p>
        </w:tc>
        <w:tc>
          <w:tcPr>
            <w:tcW w:w="7650" w:type="dxa"/>
            <w:gridSpan w:val="3"/>
          </w:tcPr>
          <w:p w14:paraId="590C44C6" w14:textId="7D8D991C" w:rsidR="00256872" w:rsidRPr="007D0AE3" w:rsidRDefault="006240E4" w:rsidP="003D283C">
            <w:pPr>
              <w:shd w:val="clear" w:color="auto" w:fill="FFFFFF" w:themeFill="background1"/>
              <w:spacing w:after="0" w:line="240" w:lineRule="auto"/>
              <w:jc w:val="both"/>
              <w:rPr>
                <w:rFonts w:ascii="Lato" w:hAnsi="Lato" w:cs="Arial"/>
                <w:color w:val="000000" w:themeColor="text1"/>
                <w:sz w:val="20"/>
                <w:szCs w:val="20"/>
              </w:rPr>
            </w:pPr>
            <w:r>
              <w:rPr>
                <w:rFonts w:ascii="Lato" w:hAnsi="Lato" w:cs="Arial"/>
                <w:color w:val="333333"/>
                <w:sz w:val="20"/>
                <w:szCs w:val="20"/>
                <w:shd w:val="clear" w:color="auto" w:fill="FFFFFF"/>
              </w:rPr>
              <w:t>6 months</w:t>
            </w:r>
          </w:p>
        </w:tc>
      </w:tr>
      <w:tr w:rsidR="00472275" w:rsidRPr="002660A2" w14:paraId="6A759BE4" w14:textId="77777777" w:rsidTr="006403BD">
        <w:trPr>
          <w:trHeight w:val="411"/>
        </w:trPr>
        <w:tc>
          <w:tcPr>
            <w:tcW w:w="540" w:type="dxa"/>
            <w:shd w:val="clear" w:color="auto" w:fill="F2F2F2"/>
          </w:tcPr>
          <w:p w14:paraId="7F9A3BF1" w14:textId="77777777" w:rsidR="00B7426D" w:rsidRPr="002660A2" w:rsidRDefault="00B7426D" w:rsidP="003D283C">
            <w:pPr>
              <w:spacing w:after="0" w:line="240" w:lineRule="auto"/>
              <w:rPr>
                <w:rFonts w:ascii="Lato" w:hAnsi="Lato" w:cs="Arial"/>
                <w:color w:val="000000" w:themeColor="text1"/>
                <w:sz w:val="20"/>
                <w:szCs w:val="20"/>
              </w:rPr>
            </w:pPr>
            <w:r w:rsidRPr="002660A2">
              <w:rPr>
                <w:rFonts w:ascii="Lato" w:hAnsi="Lato" w:cs="Arial"/>
                <w:color w:val="000000" w:themeColor="text1"/>
                <w:sz w:val="20"/>
                <w:szCs w:val="20"/>
              </w:rPr>
              <w:t>4</w:t>
            </w:r>
          </w:p>
        </w:tc>
        <w:tc>
          <w:tcPr>
            <w:tcW w:w="2245" w:type="dxa"/>
            <w:shd w:val="clear" w:color="auto" w:fill="F2F2F2"/>
          </w:tcPr>
          <w:p w14:paraId="5AFA77C6" w14:textId="77777777" w:rsidR="00B7426D" w:rsidRPr="002660A2" w:rsidRDefault="00B7426D" w:rsidP="003D283C">
            <w:pPr>
              <w:spacing w:after="0" w:line="240" w:lineRule="auto"/>
              <w:rPr>
                <w:rFonts w:ascii="Lato" w:hAnsi="Lato" w:cs="Arial"/>
                <w:b/>
                <w:color w:val="000000" w:themeColor="text1"/>
                <w:sz w:val="20"/>
                <w:szCs w:val="20"/>
              </w:rPr>
            </w:pPr>
            <w:r w:rsidRPr="002660A2">
              <w:rPr>
                <w:rFonts w:ascii="Lato" w:hAnsi="Lato" w:cs="Arial"/>
                <w:b/>
                <w:color w:val="000000" w:themeColor="text1"/>
                <w:sz w:val="20"/>
                <w:szCs w:val="20"/>
              </w:rPr>
              <w:t xml:space="preserve">Consultant type required </w:t>
            </w:r>
          </w:p>
        </w:tc>
        <w:tc>
          <w:tcPr>
            <w:tcW w:w="7650" w:type="dxa"/>
            <w:gridSpan w:val="3"/>
          </w:tcPr>
          <w:p w14:paraId="55D1BE12" w14:textId="7B54B2FB" w:rsidR="00B7426D" w:rsidRPr="007D0AE3" w:rsidRDefault="00760A0A" w:rsidP="003D283C">
            <w:pPr>
              <w:pStyle w:val="ListParagraph"/>
              <w:ind w:left="0"/>
              <w:jc w:val="both"/>
              <w:rPr>
                <w:rFonts w:ascii="Lato" w:eastAsia="Calibri" w:hAnsi="Lato" w:cs="Arial"/>
                <w:color w:val="000000" w:themeColor="text1"/>
                <w:sz w:val="20"/>
                <w:szCs w:val="20"/>
                <w:lang w:val="en-US" w:eastAsia="en-US"/>
              </w:rPr>
            </w:pPr>
            <w:r>
              <w:rPr>
                <w:rFonts w:ascii="Lato" w:eastAsia="Calibri" w:hAnsi="Lato" w:cs="Arial"/>
                <w:color w:val="000000" w:themeColor="text1"/>
                <w:sz w:val="20"/>
                <w:szCs w:val="20"/>
                <w:lang w:val="en-US" w:eastAsia="en-US"/>
              </w:rPr>
              <w:t xml:space="preserve">Experienced and relevant </w:t>
            </w:r>
            <w:r w:rsidR="00B87DC7" w:rsidRPr="007D0AE3">
              <w:rPr>
                <w:rFonts w:ascii="Lato" w:eastAsia="Calibri" w:hAnsi="Lato" w:cs="Arial"/>
                <w:color w:val="000000" w:themeColor="text1"/>
                <w:sz w:val="20"/>
                <w:szCs w:val="20"/>
                <w:lang w:val="en-US" w:eastAsia="en-US"/>
              </w:rPr>
              <w:t xml:space="preserve">Consultancy </w:t>
            </w:r>
            <w:r w:rsidR="00B7426D" w:rsidRPr="007D0AE3">
              <w:rPr>
                <w:rFonts w:ascii="Lato" w:eastAsia="Calibri" w:hAnsi="Lato" w:cs="Arial"/>
                <w:color w:val="000000" w:themeColor="text1"/>
                <w:sz w:val="20"/>
                <w:szCs w:val="20"/>
                <w:lang w:val="en-US" w:eastAsia="en-US"/>
              </w:rPr>
              <w:t>Firm</w:t>
            </w:r>
            <w:r w:rsidR="000033CA">
              <w:rPr>
                <w:rFonts w:ascii="Lato" w:eastAsia="Calibri" w:hAnsi="Lato" w:cs="Arial"/>
                <w:color w:val="000000" w:themeColor="text1"/>
                <w:sz w:val="20"/>
                <w:szCs w:val="20"/>
                <w:lang w:val="en-US" w:eastAsia="en-US"/>
              </w:rPr>
              <w:t>s</w:t>
            </w:r>
            <w:r w:rsidR="00727356" w:rsidRPr="007D0AE3">
              <w:rPr>
                <w:rFonts w:ascii="Lato" w:eastAsia="Calibri" w:hAnsi="Lato" w:cs="Arial"/>
                <w:color w:val="000000" w:themeColor="text1"/>
                <w:sz w:val="20"/>
                <w:szCs w:val="20"/>
                <w:lang w:val="en-US" w:eastAsia="en-US"/>
              </w:rPr>
              <w:t xml:space="preserve"> </w:t>
            </w:r>
          </w:p>
        </w:tc>
      </w:tr>
      <w:tr w:rsidR="00472275" w:rsidRPr="002660A2" w14:paraId="36A0AEC1" w14:textId="77777777" w:rsidTr="006403BD">
        <w:trPr>
          <w:trHeight w:val="960"/>
        </w:trPr>
        <w:tc>
          <w:tcPr>
            <w:tcW w:w="540" w:type="dxa"/>
            <w:shd w:val="clear" w:color="auto" w:fill="F2F2F2"/>
          </w:tcPr>
          <w:p w14:paraId="3CEA747C" w14:textId="77777777" w:rsidR="00B7426D" w:rsidRPr="002660A2" w:rsidRDefault="00B7426D" w:rsidP="003D283C">
            <w:pPr>
              <w:spacing w:after="0" w:line="240" w:lineRule="auto"/>
              <w:rPr>
                <w:rFonts w:ascii="Lato" w:hAnsi="Lato" w:cs="Arial"/>
                <w:color w:val="000000" w:themeColor="text1"/>
                <w:sz w:val="20"/>
                <w:szCs w:val="20"/>
              </w:rPr>
            </w:pPr>
            <w:r w:rsidRPr="002660A2">
              <w:rPr>
                <w:rFonts w:ascii="Lato" w:hAnsi="Lato" w:cs="Arial"/>
                <w:color w:val="000000" w:themeColor="text1"/>
                <w:sz w:val="20"/>
                <w:szCs w:val="20"/>
              </w:rPr>
              <w:t>5</w:t>
            </w:r>
          </w:p>
        </w:tc>
        <w:tc>
          <w:tcPr>
            <w:tcW w:w="2245" w:type="dxa"/>
            <w:shd w:val="clear" w:color="auto" w:fill="F2F2F2"/>
          </w:tcPr>
          <w:p w14:paraId="0983A027" w14:textId="77777777" w:rsidR="00B7426D" w:rsidRPr="002660A2" w:rsidRDefault="00B7426D" w:rsidP="003D283C">
            <w:pPr>
              <w:spacing w:after="0" w:line="240" w:lineRule="auto"/>
              <w:rPr>
                <w:rFonts w:ascii="Lato" w:hAnsi="Lato" w:cs="Arial"/>
                <w:b/>
                <w:color w:val="000000" w:themeColor="text1"/>
                <w:sz w:val="20"/>
                <w:szCs w:val="20"/>
              </w:rPr>
            </w:pPr>
            <w:r w:rsidRPr="002660A2">
              <w:rPr>
                <w:rFonts w:ascii="Lato" w:hAnsi="Lato" w:cs="Arial"/>
                <w:b/>
                <w:color w:val="000000" w:themeColor="text1"/>
                <w:sz w:val="20"/>
                <w:szCs w:val="20"/>
              </w:rPr>
              <w:t>Responsibility for Logistics arrangements and Costs</w:t>
            </w:r>
          </w:p>
        </w:tc>
        <w:tc>
          <w:tcPr>
            <w:tcW w:w="7650" w:type="dxa"/>
            <w:gridSpan w:val="3"/>
          </w:tcPr>
          <w:p w14:paraId="19A3A940" w14:textId="7B54B29A" w:rsidR="00B7426D" w:rsidRPr="007D0AE3" w:rsidRDefault="00B7426D" w:rsidP="003D283C">
            <w:pPr>
              <w:spacing w:after="0" w:line="240" w:lineRule="auto"/>
              <w:jc w:val="both"/>
              <w:rPr>
                <w:rFonts w:ascii="Lato" w:hAnsi="Lato" w:cs="Arial"/>
                <w:color w:val="000000" w:themeColor="text1"/>
                <w:sz w:val="20"/>
                <w:szCs w:val="20"/>
              </w:rPr>
            </w:pPr>
            <w:r w:rsidRPr="007D0AE3">
              <w:rPr>
                <w:rFonts w:ascii="Lato" w:hAnsi="Lato" w:cs="Arial"/>
                <w:color w:val="000000" w:themeColor="text1"/>
                <w:sz w:val="20"/>
                <w:szCs w:val="20"/>
              </w:rPr>
              <w:t xml:space="preserve">Save the children will pay the consultant fee in a lump sum and will not reimburse any incurred costs during the assignment. The consultant will cover their own Logistical </w:t>
            </w:r>
            <w:r w:rsidR="00AE5083" w:rsidRPr="007D0AE3">
              <w:rPr>
                <w:rFonts w:ascii="Lato" w:hAnsi="Lato" w:cs="Arial"/>
                <w:color w:val="000000" w:themeColor="text1"/>
                <w:sz w:val="20"/>
                <w:szCs w:val="20"/>
              </w:rPr>
              <w:t>arrangements, costs</w:t>
            </w:r>
            <w:r w:rsidRPr="007D0AE3">
              <w:rPr>
                <w:rFonts w:ascii="Lato" w:hAnsi="Lato" w:cs="Arial"/>
                <w:color w:val="000000" w:themeColor="text1"/>
                <w:sz w:val="20"/>
                <w:szCs w:val="20"/>
              </w:rPr>
              <w:t xml:space="preserve"> including food, accommodatio</w:t>
            </w:r>
            <w:r w:rsidR="00D63D4B" w:rsidRPr="007D0AE3">
              <w:rPr>
                <w:rFonts w:ascii="Lato" w:hAnsi="Lato" w:cs="Arial"/>
                <w:color w:val="000000" w:themeColor="text1"/>
                <w:sz w:val="20"/>
                <w:szCs w:val="20"/>
              </w:rPr>
              <w:t>n,</w:t>
            </w:r>
            <w:r w:rsidRPr="007D0AE3">
              <w:rPr>
                <w:rFonts w:ascii="Lato" w:hAnsi="Lato" w:cs="Arial"/>
                <w:color w:val="000000" w:themeColor="text1"/>
                <w:sz w:val="20"/>
                <w:szCs w:val="20"/>
              </w:rPr>
              <w:t xml:space="preserve"> </w:t>
            </w:r>
            <w:r w:rsidR="006411A2" w:rsidRPr="007D0AE3">
              <w:rPr>
                <w:rFonts w:ascii="Lato" w:hAnsi="Lato" w:cs="Arial"/>
                <w:color w:val="000000" w:themeColor="text1"/>
                <w:sz w:val="20"/>
                <w:szCs w:val="20"/>
              </w:rPr>
              <w:t xml:space="preserve">insurance, </w:t>
            </w:r>
            <w:r w:rsidRPr="007D0AE3">
              <w:rPr>
                <w:rFonts w:ascii="Lato" w:hAnsi="Lato" w:cs="Arial"/>
                <w:color w:val="000000" w:themeColor="text1"/>
                <w:sz w:val="20"/>
                <w:szCs w:val="20"/>
              </w:rPr>
              <w:t xml:space="preserve">local transport and all cost associated with data collection work and whole activities. </w:t>
            </w:r>
          </w:p>
        </w:tc>
      </w:tr>
      <w:tr w:rsidR="00472275" w:rsidRPr="002660A2" w14:paraId="4E4CABD4" w14:textId="77777777" w:rsidTr="006403BD">
        <w:trPr>
          <w:trHeight w:val="804"/>
        </w:trPr>
        <w:tc>
          <w:tcPr>
            <w:tcW w:w="540" w:type="dxa"/>
            <w:shd w:val="clear" w:color="auto" w:fill="F2F2F2"/>
          </w:tcPr>
          <w:p w14:paraId="4D5CE5EC" w14:textId="77777777" w:rsidR="00B7426D" w:rsidRPr="002660A2" w:rsidRDefault="00B7426D" w:rsidP="003D283C">
            <w:pPr>
              <w:spacing w:after="0" w:line="240" w:lineRule="auto"/>
              <w:rPr>
                <w:rFonts w:ascii="Lato" w:hAnsi="Lato" w:cs="Arial"/>
                <w:color w:val="000000" w:themeColor="text1"/>
                <w:sz w:val="20"/>
                <w:szCs w:val="20"/>
              </w:rPr>
            </w:pPr>
            <w:r w:rsidRPr="002660A2">
              <w:rPr>
                <w:rFonts w:ascii="Lato" w:hAnsi="Lato" w:cs="Arial"/>
                <w:color w:val="000000" w:themeColor="text1"/>
                <w:sz w:val="20"/>
                <w:szCs w:val="20"/>
              </w:rPr>
              <w:t>6</w:t>
            </w:r>
          </w:p>
        </w:tc>
        <w:tc>
          <w:tcPr>
            <w:tcW w:w="2245" w:type="dxa"/>
            <w:shd w:val="clear" w:color="auto" w:fill="F2F2F2"/>
          </w:tcPr>
          <w:p w14:paraId="7FED7755" w14:textId="77777777" w:rsidR="00B7426D" w:rsidRPr="002660A2" w:rsidRDefault="00B7426D" w:rsidP="003D283C">
            <w:pPr>
              <w:spacing w:after="0" w:line="240" w:lineRule="auto"/>
              <w:jc w:val="both"/>
              <w:rPr>
                <w:rFonts w:ascii="Lato" w:hAnsi="Lato" w:cs="Arial"/>
                <w:b/>
                <w:color w:val="000000" w:themeColor="text1"/>
                <w:sz w:val="20"/>
                <w:szCs w:val="20"/>
              </w:rPr>
            </w:pPr>
            <w:r w:rsidRPr="002660A2">
              <w:rPr>
                <w:rFonts w:ascii="Lato" w:hAnsi="Lato" w:cs="Arial"/>
                <w:b/>
                <w:color w:val="000000" w:themeColor="text1"/>
                <w:sz w:val="20"/>
                <w:szCs w:val="20"/>
              </w:rPr>
              <w:t>Taxation Provisions</w:t>
            </w:r>
          </w:p>
        </w:tc>
        <w:tc>
          <w:tcPr>
            <w:tcW w:w="7650" w:type="dxa"/>
            <w:gridSpan w:val="3"/>
          </w:tcPr>
          <w:p w14:paraId="5407E799" w14:textId="0361DBD9" w:rsidR="00B7426D" w:rsidRPr="007D0AE3" w:rsidRDefault="00577459" w:rsidP="006403BD">
            <w:pPr>
              <w:spacing w:after="0"/>
              <w:rPr>
                <w:rFonts w:ascii="Lato" w:hAnsi="Lato" w:cs="Arial"/>
                <w:color w:val="000000" w:themeColor="text1"/>
                <w:sz w:val="20"/>
                <w:szCs w:val="20"/>
              </w:rPr>
            </w:pPr>
            <w:r w:rsidRPr="007D0AE3">
              <w:rPr>
                <w:rFonts w:ascii="Lato" w:hAnsi="Lato" w:cs="Arial"/>
                <w:color w:val="000000" w:themeColor="text1"/>
                <w:sz w:val="20"/>
                <w:szCs w:val="20"/>
              </w:rPr>
              <w:t xml:space="preserve">The </w:t>
            </w:r>
            <w:r w:rsidR="004E5032" w:rsidRPr="007D0AE3">
              <w:rPr>
                <w:rFonts w:ascii="Lato" w:hAnsi="Lato" w:cs="Arial"/>
                <w:color w:val="000000" w:themeColor="text1"/>
                <w:sz w:val="20"/>
                <w:szCs w:val="20"/>
              </w:rPr>
              <w:t>consultan</w:t>
            </w:r>
            <w:r w:rsidR="004E5032">
              <w:rPr>
                <w:rFonts w:ascii="Lato" w:hAnsi="Lato" w:cs="Arial"/>
                <w:color w:val="000000" w:themeColor="text1"/>
                <w:sz w:val="20"/>
                <w:szCs w:val="20"/>
              </w:rPr>
              <w:t>cy</w:t>
            </w:r>
            <w:r w:rsidR="00760A0A">
              <w:rPr>
                <w:rFonts w:ascii="Lato" w:hAnsi="Lato" w:cs="Arial"/>
                <w:color w:val="000000" w:themeColor="text1"/>
                <w:sz w:val="20"/>
                <w:szCs w:val="20"/>
              </w:rPr>
              <w:t xml:space="preserve"> </w:t>
            </w:r>
            <w:r w:rsidR="00517745">
              <w:rPr>
                <w:rFonts w:ascii="Lato" w:hAnsi="Lato" w:cs="Arial"/>
                <w:color w:val="000000" w:themeColor="text1"/>
                <w:sz w:val="20"/>
                <w:szCs w:val="20"/>
              </w:rPr>
              <w:t xml:space="preserve">firm </w:t>
            </w:r>
            <w:r w:rsidR="00517745" w:rsidRPr="007D0AE3">
              <w:rPr>
                <w:rFonts w:ascii="Lato" w:hAnsi="Lato" w:cs="Arial"/>
                <w:color w:val="000000" w:themeColor="text1"/>
                <w:sz w:val="20"/>
                <w:szCs w:val="20"/>
              </w:rPr>
              <w:t>shall</w:t>
            </w:r>
            <w:r w:rsidRPr="007D0AE3">
              <w:rPr>
                <w:rFonts w:ascii="Lato" w:hAnsi="Lato" w:cs="Arial"/>
                <w:color w:val="000000" w:themeColor="text1"/>
                <w:sz w:val="20"/>
                <w:szCs w:val="20"/>
              </w:rPr>
              <w:t xml:space="preserve"> be responsible for all applicable taxes related to the consultancy services, in accordance with local tax regulations at the SCI contracting office</w:t>
            </w:r>
            <w:r w:rsidR="00C26A9C">
              <w:rPr>
                <w:rFonts w:ascii="Lato" w:hAnsi="Lato" w:cs="Arial"/>
                <w:color w:val="000000" w:themeColor="text1"/>
                <w:sz w:val="20"/>
                <w:szCs w:val="20"/>
              </w:rPr>
              <w:t xml:space="preserve"> </w:t>
            </w:r>
            <w:r w:rsidRPr="007D0AE3">
              <w:rPr>
                <w:rFonts w:ascii="Lato" w:hAnsi="Lato" w:cs="Arial"/>
                <w:color w:val="000000" w:themeColor="text1"/>
                <w:sz w:val="20"/>
                <w:szCs w:val="20"/>
              </w:rPr>
              <w:t>will apply and shall be withheld by SCI</w:t>
            </w:r>
          </w:p>
        </w:tc>
      </w:tr>
      <w:tr w:rsidR="00472275" w:rsidRPr="002660A2" w14:paraId="44F44445" w14:textId="77777777" w:rsidTr="006403BD">
        <w:trPr>
          <w:trHeight w:val="340"/>
        </w:trPr>
        <w:tc>
          <w:tcPr>
            <w:tcW w:w="540" w:type="dxa"/>
            <w:shd w:val="clear" w:color="auto" w:fill="F2F2F2"/>
          </w:tcPr>
          <w:p w14:paraId="6E68B649" w14:textId="77777777" w:rsidR="00B7426D" w:rsidRPr="002660A2" w:rsidRDefault="00B7426D" w:rsidP="003D283C">
            <w:pPr>
              <w:spacing w:after="0" w:line="240" w:lineRule="auto"/>
              <w:rPr>
                <w:rFonts w:ascii="Lato" w:hAnsi="Lato" w:cs="Arial"/>
                <w:color w:val="000000" w:themeColor="text1"/>
                <w:sz w:val="20"/>
                <w:szCs w:val="20"/>
              </w:rPr>
            </w:pPr>
            <w:r w:rsidRPr="002660A2">
              <w:rPr>
                <w:rFonts w:ascii="Lato" w:hAnsi="Lato" w:cs="Arial"/>
                <w:color w:val="000000" w:themeColor="text1"/>
                <w:sz w:val="20"/>
                <w:szCs w:val="20"/>
              </w:rPr>
              <w:t>7</w:t>
            </w:r>
          </w:p>
        </w:tc>
        <w:tc>
          <w:tcPr>
            <w:tcW w:w="2245" w:type="dxa"/>
            <w:shd w:val="clear" w:color="auto" w:fill="F2F2F2"/>
          </w:tcPr>
          <w:p w14:paraId="4225F94B" w14:textId="77777777" w:rsidR="00B7426D" w:rsidRPr="002660A2" w:rsidRDefault="00B7426D" w:rsidP="003D283C">
            <w:pPr>
              <w:spacing w:after="0" w:line="240" w:lineRule="auto"/>
              <w:jc w:val="both"/>
              <w:rPr>
                <w:rFonts w:ascii="Lato" w:hAnsi="Lato" w:cs="Arial"/>
                <w:b/>
                <w:color w:val="000000" w:themeColor="text1"/>
                <w:sz w:val="20"/>
                <w:szCs w:val="20"/>
              </w:rPr>
            </w:pPr>
            <w:r w:rsidRPr="002660A2">
              <w:rPr>
                <w:rFonts w:ascii="Lato" w:hAnsi="Lato" w:cs="Arial"/>
                <w:b/>
                <w:color w:val="000000" w:themeColor="text1"/>
                <w:sz w:val="20"/>
                <w:szCs w:val="20"/>
              </w:rPr>
              <w:t xml:space="preserve">Travel requirements </w:t>
            </w:r>
          </w:p>
        </w:tc>
        <w:tc>
          <w:tcPr>
            <w:tcW w:w="7650" w:type="dxa"/>
            <w:gridSpan w:val="3"/>
          </w:tcPr>
          <w:p w14:paraId="45D985F1" w14:textId="594BBE1E" w:rsidR="00B7426D" w:rsidRPr="007D0AE3" w:rsidRDefault="00B7426D" w:rsidP="003D283C">
            <w:pPr>
              <w:spacing w:after="0" w:line="240" w:lineRule="auto"/>
              <w:jc w:val="both"/>
              <w:rPr>
                <w:rFonts w:ascii="Lato" w:hAnsi="Lato" w:cs="Arial"/>
                <w:color w:val="000000" w:themeColor="text1"/>
                <w:sz w:val="20"/>
                <w:szCs w:val="20"/>
              </w:rPr>
            </w:pPr>
            <w:r w:rsidRPr="007D0AE3">
              <w:rPr>
                <w:rFonts w:ascii="Lato" w:hAnsi="Lato" w:cs="Arial"/>
                <w:color w:val="000000" w:themeColor="text1"/>
                <w:sz w:val="20"/>
                <w:szCs w:val="20"/>
              </w:rPr>
              <w:t xml:space="preserve">The </w:t>
            </w:r>
            <w:r w:rsidR="00181641" w:rsidRPr="007D0AE3">
              <w:rPr>
                <w:rFonts w:ascii="Lato" w:hAnsi="Lato" w:cs="Arial"/>
                <w:color w:val="000000" w:themeColor="text1"/>
                <w:sz w:val="20"/>
                <w:szCs w:val="20"/>
              </w:rPr>
              <w:t>consultancy firm</w:t>
            </w:r>
            <w:r w:rsidR="00143323" w:rsidRPr="007D0AE3">
              <w:rPr>
                <w:rFonts w:ascii="Lato" w:hAnsi="Lato" w:cs="Arial"/>
                <w:color w:val="000000" w:themeColor="text1"/>
                <w:sz w:val="20"/>
                <w:szCs w:val="20"/>
              </w:rPr>
              <w:t xml:space="preserve"> will</w:t>
            </w:r>
            <w:r w:rsidRPr="007D0AE3">
              <w:rPr>
                <w:rFonts w:ascii="Lato" w:hAnsi="Lato" w:cs="Arial"/>
                <w:color w:val="000000" w:themeColor="text1"/>
                <w:sz w:val="20"/>
                <w:szCs w:val="20"/>
              </w:rPr>
              <w:t xml:space="preserve"> cover </w:t>
            </w:r>
            <w:r w:rsidR="00181641" w:rsidRPr="007D0AE3">
              <w:rPr>
                <w:rFonts w:ascii="Lato" w:hAnsi="Lato" w:cs="Arial"/>
                <w:color w:val="000000" w:themeColor="text1"/>
                <w:sz w:val="20"/>
                <w:szCs w:val="20"/>
              </w:rPr>
              <w:t>all</w:t>
            </w:r>
            <w:r w:rsidRPr="007D0AE3">
              <w:rPr>
                <w:rFonts w:ascii="Lato" w:hAnsi="Lato" w:cs="Arial"/>
                <w:color w:val="000000" w:themeColor="text1"/>
                <w:sz w:val="20"/>
                <w:szCs w:val="20"/>
              </w:rPr>
              <w:t xml:space="preserve"> travel costs (tickets) and arrange local travel</w:t>
            </w:r>
            <w:r w:rsidR="008E49FA">
              <w:rPr>
                <w:rFonts w:ascii="Lato" w:hAnsi="Lato" w:cs="Arial"/>
                <w:color w:val="000000" w:themeColor="text1"/>
                <w:sz w:val="20"/>
                <w:szCs w:val="20"/>
              </w:rPr>
              <w:t xml:space="preserve"> movements</w:t>
            </w:r>
            <w:r w:rsidRPr="007D0AE3">
              <w:rPr>
                <w:rFonts w:ascii="Lato" w:hAnsi="Lato" w:cs="Arial"/>
                <w:color w:val="000000" w:themeColor="text1"/>
                <w:sz w:val="20"/>
                <w:szCs w:val="20"/>
              </w:rPr>
              <w:t xml:space="preserve"> to </w:t>
            </w:r>
            <w:r w:rsidR="008E49FA">
              <w:rPr>
                <w:rFonts w:ascii="Lato" w:hAnsi="Lato" w:cs="Arial"/>
                <w:color w:val="000000" w:themeColor="text1"/>
                <w:sz w:val="20"/>
                <w:szCs w:val="20"/>
              </w:rPr>
              <w:t>regions and districts</w:t>
            </w:r>
            <w:r w:rsidRPr="007D0AE3">
              <w:rPr>
                <w:rFonts w:ascii="Lato" w:hAnsi="Lato" w:cs="Arial"/>
                <w:color w:val="000000" w:themeColor="text1"/>
                <w:sz w:val="20"/>
                <w:szCs w:val="20"/>
              </w:rPr>
              <w:t>.</w:t>
            </w:r>
          </w:p>
        </w:tc>
      </w:tr>
      <w:tr w:rsidR="00472275" w:rsidRPr="002660A2" w14:paraId="66D55F0B" w14:textId="77777777" w:rsidTr="006403BD">
        <w:trPr>
          <w:trHeight w:val="672"/>
        </w:trPr>
        <w:tc>
          <w:tcPr>
            <w:tcW w:w="540" w:type="dxa"/>
            <w:shd w:val="clear" w:color="auto" w:fill="F2F2F2"/>
          </w:tcPr>
          <w:p w14:paraId="69EBDD1C" w14:textId="77777777" w:rsidR="00B7426D" w:rsidRPr="002660A2" w:rsidRDefault="00B7426D" w:rsidP="003D283C">
            <w:pPr>
              <w:spacing w:after="0" w:line="240" w:lineRule="auto"/>
              <w:rPr>
                <w:rFonts w:ascii="Lato" w:hAnsi="Lato" w:cs="Arial"/>
                <w:color w:val="000000" w:themeColor="text1"/>
                <w:sz w:val="20"/>
                <w:szCs w:val="20"/>
              </w:rPr>
            </w:pPr>
            <w:r w:rsidRPr="002660A2">
              <w:rPr>
                <w:rFonts w:ascii="Lato" w:hAnsi="Lato" w:cs="Arial"/>
                <w:color w:val="000000" w:themeColor="text1"/>
                <w:sz w:val="20"/>
                <w:szCs w:val="20"/>
              </w:rPr>
              <w:t>8</w:t>
            </w:r>
          </w:p>
        </w:tc>
        <w:tc>
          <w:tcPr>
            <w:tcW w:w="2245" w:type="dxa"/>
            <w:shd w:val="clear" w:color="auto" w:fill="F2F2F2"/>
          </w:tcPr>
          <w:p w14:paraId="188E7768" w14:textId="77777777" w:rsidR="00B7426D" w:rsidRPr="002660A2" w:rsidRDefault="00B7426D" w:rsidP="003D283C">
            <w:pPr>
              <w:spacing w:after="0" w:line="240" w:lineRule="auto"/>
              <w:jc w:val="both"/>
              <w:rPr>
                <w:rFonts w:ascii="Lato" w:hAnsi="Lato" w:cs="Arial"/>
                <w:b/>
                <w:color w:val="000000" w:themeColor="text1"/>
                <w:sz w:val="20"/>
                <w:szCs w:val="20"/>
              </w:rPr>
            </w:pPr>
            <w:r w:rsidRPr="002660A2">
              <w:rPr>
                <w:rFonts w:ascii="Lato" w:hAnsi="Lato" w:cs="Arial"/>
                <w:b/>
                <w:color w:val="000000" w:themeColor="text1"/>
                <w:sz w:val="20"/>
                <w:szCs w:val="20"/>
              </w:rPr>
              <w:t>Security requirements</w:t>
            </w:r>
          </w:p>
        </w:tc>
        <w:tc>
          <w:tcPr>
            <w:tcW w:w="7650" w:type="dxa"/>
            <w:gridSpan w:val="3"/>
          </w:tcPr>
          <w:p w14:paraId="2C878A67" w14:textId="477E607A" w:rsidR="00B7426D" w:rsidRPr="007D0AE3" w:rsidRDefault="00181641" w:rsidP="003D283C">
            <w:pPr>
              <w:spacing w:after="0" w:line="240" w:lineRule="auto"/>
              <w:jc w:val="both"/>
              <w:rPr>
                <w:rFonts w:ascii="Lato" w:hAnsi="Lato" w:cs="Arial"/>
                <w:color w:val="000000" w:themeColor="text1"/>
                <w:sz w:val="20"/>
                <w:szCs w:val="20"/>
              </w:rPr>
            </w:pPr>
            <w:r w:rsidRPr="007D0AE3">
              <w:rPr>
                <w:rFonts w:ascii="Lato" w:hAnsi="Lato" w:cs="Arial"/>
                <w:color w:val="000000" w:themeColor="text1"/>
                <w:sz w:val="20"/>
                <w:szCs w:val="20"/>
              </w:rPr>
              <w:t xml:space="preserve">The </w:t>
            </w:r>
            <w:r w:rsidR="00892FE6" w:rsidRPr="007D0AE3">
              <w:rPr>
                <w:rFonts w:ascii="Lato" w:hAnsi="Lato" w:cs="Arial"/>
                <w:color w:val="000000" w:themeColor="text1"/>
                <w:sz w:val="20"/>
                <w:szCs w:val="20"/>
              </w:rPr>
              <w:t>consultancy firm</w:t>
            </w:r>
            <w:r w:rsidR="000F52D9" w:rsidRPr="007D0AE3">
              <w:rPr>
                <w:rFonts w:ascii="Lato" w:hAnsi="Lato" w:cs="Arial"/>
                <w:color w:val="000000" w:themeColor="text1"/>
                <w:sz w:val="20"/>
                <w:szCs w:val="20"/>
              </w:rPr>
              <w:t xml:space="preserve"> </w:t>
            </w:r>
            <w:r w:rsidR="00143323" w:rsidRPr="007D0AE3">
              <w:rPr>
                <w:rFonts w:ascii="Lato" w:hAnsi="Lato" w:cs="Arial"/>
                <w:color w:val="000000" w:themeColor="text1"/>
                <w:sz w:val="20"/>
                <w:szCs w:val="20"/>
              </w:rPr>
              <w:t>will</w:t>
            </w:r>
            <w:r w:rsidR="00B7426D" w:rsidRPr="007D0AE3">
              <w:rPr>
                <w:rFonts w:ascii="Lato" w:hAnsi="Lato" w:cs="Arial"/>
                <w:color w:val="000000" w:themeColor="text1"/>
                <w:sz w:val="20"/>
                <w:szCs w:val="20"/>
              </w:rPr>
              <w:t xml:space="preserve"> comply with </w:t>
            </w:r>
            <w:r w:rsidR="004E5032" w:rsidRPr="007D0AE3">
              <w:rPr>
                <w:rFonts w:ascii="Lato" w:hAnsi="Lato" w:cs="Arial"/>
                <w:color w:val="000000" w:themeColor="text1"/>
                <w:sz w:val="20"/>
                <w:szCs w:val="20"/>
              </w:rPr>
              <w:t>the standard</w:t>
            </w:r>
            <w:r w:rsidR="00B7426D" w:rsidRPr="007D0AE3">
              <w:rPr>
                <w:rFonts w:ascii="Lato" w:hAnsi="Lato" w:cs="Arial"/>
                <w:color w:val="000000" w:themeColor="text1"/>
                <w:sz w:val="20"/>
                <w:szCs w:val="20"/>
              </w:rPr>
              <w:t xml:space="preserve"> of Save the Children Security procedures, including the completion of SCI online security training</w:t>
            </w:r>
            <w:r w:rsidR="00CD6230" w:rsidRPr="007D0AE3">
              <w:rPr>
                <w:rFonts w:ascii="Lato" w:hAnsi="Lato" w:cs="Arial"/>
                <w:color w:val="000000" w:themeColor="text1"/>
                <w:sz w:val="20"/>
                <w:szCs w:val="20"/>
              </w:rPr>
              <w:t xml:space="preserve"> </w:t>
            </w:r>
            <w:r w:rsidR="00D63D4B" w:rsidRPr="007D0AE3">
              <w:rPr>
                <w:rFonts w:ascii="Lato" w:hAnsi="Lato" w:cs="Arial"/>
                <w:color w:val="000000" w:themeColor="text1"/>
                <w:sz w:val="20"/>
                <w:szCs w:val="20"/>
              </w:rPr>
              <w:t>(applicable to international consultants)</w:t>
            </w:r>
            <w:r w:rsidR="00B7426D" w:rsidRPr="007D0AE3">
              <w:rPr>
                <w:rFonts w:ascii="Lato" w:hAnsi="Lato" w:cs="Arial"/>
                <w:color w:val="000000" w:themeColor="text1"/>
                <w:sz w:val="20"/>
                <w:szCs w:val="20"/>
              </w:rPr>
              <w:t xml:space="preserve"> prior to travel to </w:t>
            </w:r>
            <w:r w:rsidR="004E5032" w:rsidRPr="007D0AE3">
              <w:rPr>
                <w:rFonts w:ascii="Lato" w:hAnsi="Lato" w:cs="Arial"/>
                <w:color w:val="000000" w:themeColor="text1"/>
                <w:sz w:val="20"/>
                <w:szCs w:val="20"/>
              </w:rPr>
              <w:t>Somali</w:t>
            </w:r>
            <w:r w:rsidR="004E5032">
              <w:rPr>
                <w:rFonts w:ascii="Lato" w:hAnsi="Lato" w:cs="Arial"/>
                <w:color w:val="000000" w:themeColor="text1"/>
                <w:sz w:val="20"/>
                <w:szCs w:val="20"/>
              </w:rPr>
              <w:t>land.</w:t>
            </w:r>
            <w:r w:rsidR="00B7426D" w:rsidRPr="007D0AE3">
              <w:rPr>
                <w:rFonts w:ascii="Lato" w:hAnsi="Lato" w:cs="Arial"/>
                <w:color w:val="000000" w:themeColor="text1"/>
                <w:sz w:val="20"/>
                <w:szCs w:val="20"/>
              </w:rPr>
              <w:t xml:space="preserve"> </w:t>
            </w:r>
            <w:r w:rsidR="00A33C85" w:rsidRPr="007D0AE3">
              <w:rPr>
                <w:rFonts w:ascii="Lato" w:hAnsi="Lato" w:cs="Arial"/>
                <w:color w:val="000000" w:themeColor="text1"/>
                <w:sz w:val="20"/>
                <w:szCs w:val="20"/>
              </w:rPr>
              <w:t xml:space="preserve"> </w:t>
            </w:r>
          </w:p>
        </w:tc>
      </w:tr>
      <w:tr w:rsidR="00472275" w:rsidRPr="002660A2" w14:paraId="523EA49F" w14:textId="77777777" w:rsidTr="006403BD">
        <w:trPr>
          <w:trHeight w:val="472"/>
        </w:trPr>
        <w:tc>
          <w:tcPr>
            <w:tcW w:w="540" w:type="dxa"/>
            <w:shd w:val="clear" w:color="auto" w:fill="F2F2F2"/>
          </w:tcPr>
          <w:p w14:paraId="22AC09BB" w14:textId="77777777" w:rsidR="00B7426D" w:rsidRPr="002660A2" w:rsidRDefault="00B7426D" w:rsidP="003D283C">
            <w:pPr>
              <w:spacing w:after="0" w:line="240" w:lineRule="auto"/>
              <w:rPr>
                <w:rFonts w:ascii="Lato" w:hAnsi="Lato" w:cs="Arial"/>
                <w:color w:val="000000" w:themeColor="text1"/>
                <w:sz w:val="20"/>
                <w:szCs w:val="20"/>
                <w:highlight w:val="yellow"/>
              </w:rPr>
            </w:pPr>
            <w:r w:rsidRPr="002660A2">
              <w:rPr>
                <w:rFonts w:ascii="Lato" w:hAnsi="Lato" w:cs="Arial"/>
                <w:color w:val="000000" w:themeColor="text1"/>
                <w:sz w:val="20"/>
                <w:szCs w:val="20"/>
              </w:rPr>
              <w:t>9</w:t>
            </w:r>
          </w:p>
        </w:tc>
        <w:tc>
          <w:tcPr>
            <w:tcW w:w="2245" w:type="dxa"/>
            <w:shd w:val="clear" w:color="auto" w:fill="F2F2F2"/>
          </w:tcPr>
          <w:p w14:paraId="3CFE1184" w14:textId="19F06F74" w:rsidR="00B7426D" w:rsidRPr="002660A2" w:rsidRDefault="001E6298" w:rsidP="001E6298">
            <w:pPr>
              <w:spacing w:after="0" w:line="240" w:lineRule="auto"/>
              <w:rPr>
                <w:rFonts w:ascii="Lato" w:hAnsi="Lato" w:cs="Arial"/>
                <w:b/>
                <w:color w:val="000000" w:themeColor="text1"/>
                <w:sz w:val="20"/>
                <w:szCs w:val="20"/>
              </w:rPr>
            </w:pPr>
            <w:r w:rsidRPr="001E6298">
              <w:rPr>
                <w:rFonts w:ascii="Lato" w:hAnsi="Lato" w:cs="Arial"/>
                <w:b/>
                <w:color w:val="000000" w:themeColor="text1"/>
                <w:sz w:val="20"/>
                <w:szCs w:val="20"/>
              </w:rPr>
              <w:t>Firm's Experience Requirement:</w:t>
            </w:r>
          </w:p>
        </w:tc>
        <w:tc>
          <w:tcPr>
            <w:tcW w:w="7650" w:type="dxa"/>
            <w:gridSpan w:val="3"/>
          </w:tcPr>
          <w:p w14:paraId="35BAAA24" w14:textId="2C94371A" w:rsidR="00880E5C" w:rsidRPr="007D0AE3" w:rsidRDefault="00282AA4" w:rsidP="00880E5C">
            <w:pPr>
              <w:jc w:val="both"/>
              <w:rPr>
                <w:rFonts w:ascii="Lato" w:hAnsi="Lato" w:cs="Arial"/>
                <w:color w:val="000000" w:themeColor="text1"/>
                <w:sz w:val="20"/>
                <w:szCs w:val="20"/>
              </w:rPr>
            </w:pPr>
            <w:r>
              <w:rPr>
                <w:rFonts w:ascii="Lato" w:hAnsi="Lato" w:cs="Arial"/>
                <w:color w:val="000000" w:themeColor="text1"/>
                <w:sz w:val="20"/>
                <w:szCs w:val="20"/>
              </w:rPr>
              <w:t xml:space="preserve">The </w:t>
            </w:r>
            <w:r w:rsidR="00880E5C" w:rsidRPr="007D0AE3">
              <w:rPr>
                <w:rFonts w:ascii="Lato" w:hAnsi="Lato" w:cs="Arial"/>
                <w:color w:val="000000" w:themeColor="text1"/>
                <w:sz w:val="20"/>
                <w:szCs w:val="20"/>
              </w:rPr>
              <w:t xml:space="preserve">consultancy firm must demonstrate institutional experience in conducting high-level education sector </w:t>
            </w:r>
            <w:r w:rsidR="00760A0A">
              <w:rPr>
                <w:rFonts w:ascii="Lato" w:hAnsi="Lato" w:cs="Arial"/>
                <w:color w:val="000000" w:themeColor="text1"/>
                <w:sz w:val="20"/>
                <w:szCs w:val="20"/>
              </w:rPr>
              <w:t>review</w:t>
            </w:r>
            <w:r>
              <w:rPr>
                <w:rFonts w:ascii="Lato" w:hAnsi="Lato" w:cs="Arial"/>
                <w:color w:val="000000" w:themeColor="text1"/>
                <w:sz w:val="20"/>
                <w:szCs w:val="20"/>
              </w:rPr>
              <w:t>s, Analysis</w:t>
            </w:r>
            <w:r w:rsidR="00FF2102">
              <w:rPr>
                <w:rFonts w:ascii="Lato" w:hAnsi="Lato" w:cs="Arial"/>
                <w:color w:val="000000" w:themeColor="text1"/>
                <w:sz w:val="20"/>
                <w:szCs w:val="20"/>
              </w:rPr>
              <w:t xml:space="preserve">, </w:t>
            </w:r>
            <w:r w:rsidR="00880E5C" w:rsidRPr="007D0AE3">
              <w:rPr>
                <w:rFonts w:ascii="Lato" w:hAnsi="Lato" w:cs="Arial"/>
                <w:color w:val="000000" w:themeColor="text1"/>
                <w:sz w:val="20"/>
                <w:szCs w:val="20"/>
              </w:rPr>
              <w:t>evaluations</w:t>
            </w:r>
            <w:r w:rsidR="00FF2102">
              <w:rPr>
                <w:rFonts w:ascii="Lato" w:hAnsi="Lato" w:cs="Arial"/>
                <w:color w:val="000000" w:themeColor="text1"/>
                <w:sz w:val="20"/>
                <w:szCs w:val="20"/>
              </w:rPr>
              <w:t xml:space="preserve"> and development of ESSPs</w:t>
            </w:r>
            <w:r w:rsidR="00880E5C" w:rsidRPr="007D0AE3">
              <w:rPr>
                <w:rFonts w:ascii="Lato" w:hAnsi="Lato" w:cs="Arial"/>
                <w:color w:val="000000" w:themeColor="text1"/>
                <w:sz w:val="20"/>
                <w:szCs w:val="20"/>
              </w:rPr>
              <w:t xml:space="preserve">. </w:t>
            </w:r>
          </w:p>
          <w:p w14:paraId="50F1405A" w14:textId="5C39F00A" w:rsidR="0094173A" w:rsidRPr="007D0AE3" w:rsidRDefault="00880E5C" w:rsidP="006403BD">
            <w:pPr>
              <w:spacing w:after="0"/>
              <w:jc w:val="both"/>
              <w:rPr>
                <w:rFonts w:ascii="Lato" w:hAnsi="Lato" w:cs="Arial"/>
                <w:color w:val="000000" w:themeColor="text1"/>
                <w:sz w:val="20"/>
                <w:szCs w:val="20"/>
              </w:rPr>
            </w:pPr>
            <w:r w:rsidRPr="007D0AE3">
              <w:rPr>
                <w:rFonts w:ascii="Lato" w:hAnsi="Lato" w:cs="Arial"/>
                <w:color w:val="000000" w:themeColor="text1"/>
                <w:sz w:val="20"/>
                <w:szCs w:val="20"/>
              </w:rPr>
              <w:t>The firm should provide documented evidence of successfully completed assignments of a similar nature, including contracts, completion certificates, or official letters of award. Experience working with government ministries, international development partners, and multi-stakeholder education coordination platforms will be considered a strong asset.</w:t>
            </w:r>
          </w:p>
        </w:tc>
      </w:tr>
      <w:tr w:rsidR="00C93496" w:rsidRPr="002660A2" w14:paraId="2715A4FD" w14:textId="77777777" w:rsidTr="006403BD">
        <w:trPr>
          <w:trHeight w:val="50"/>
        </w:trPr>
        <w:tc>
          <w:tcPr>
            <w:tcW w:w="540" w:type="dxa"/>
            <w:shd w:val="clear" w:color="auto" w:fill="F2F2F2"/>
          </w:tcPr>
          <w:p w14:paraId="6CB55BC3" w14:textId="77777777" w:rsidR="00C93496" w:rsidRPr="002660A2" w:rsidRDefault="00C93496" w:rsidP="003D283C">
            <w:pPr>
              <w:spacing w:after="0" w:line="240" w:lineRule="auto"/>
              <w:rPr>
                <w:rFonts w:ascii="Lato" w:hAnsi="Lato" w:cs="Arial"/>
                <w:color w:val="000000" w:themeColor="text1"/>
                <w:sz w:val="20"/>
                <w:szCs w:val="20"/>
              </w:rPr>
            </w:pPr>
          </w:p>
        </w:tc>
        <w:tc>
          <w:tcPr>
            <w:tcW w:w="9895" w:type="dxa"/>
            <w:gridSpan w:val="4"/>
            <w:shd w:val="clear" w:color="auto" w:fill="F2F2F2"/>
          </w:tcPr>
          <w:p w14:paraId="6126C30D" w14:textId="5C8D638D" w:rsidR="00C93496" w:rsidRPr="002660A2" w:rsidRDefault="00C93496" w:rsidP="003D283C">
            <w:pPr>
              <w:spacing w:after="0" w:line="240" w:lineRule="auto"/>
              <w:jc w:val="both"/>
              <w:rPr>
                <w:rFonts w:ascii="Lato" w:hAnsi="Lato" w:cs="Arial"/>
                <w:color w:val="000000" w:themeColor="text1"/>
                <w:sz w:val="20"/>
                <w:szCs w:val="20"/>
              </w:rPr>
            </w:pPr>
            <w:r w:rsidRPr="002660A2">
              <w:rPr>
                <w:rFonts w:ascii="Lato" w:hAnsi="Lato" w:cs="Arial"/>
                <w:b/>
                <w:color w:val="000000" w:themeColor="text1"/>
                <w:sz w:val="20"/>
                <w:szCs w:val="20"/>
              </w:rPr>
              <w:t>KEY PROFESSIONAL STAFF</w:t>
            </w:r>
            <w:r w:rsidR="00143323" w:rsidRPr="002660A2">
              <w:rPr>
                <w:rFonts w:ascii="Lato" w:hAnsi="Lato" w:cs="Arial"/>
                <w:b/>
                <w:color w:val="000000" w:themeColor="text1"/>
                <w:sz w:val="20"/>
                <w:szCs w:val="20"/>
              </w:rPr>
              <w:t>/INDIVIDUAL</w:t>
            </w:r>
            <w:r w:rsidRPr="002660A2">
              <w:rPr>
                <w:rFonts w:ascii="Lato" w:hAnsi="Lato" w:cs="Arial"/>
                <w:b/>
                <w:color w:val="000000" w:themeColor="text1"/>
                <w:sz w:val="20"/>
                <w:szCs w:val="20"/>
              </w:rPr>
              <w:t xml:space="preserve"> REQUIREMENT</w:t>
            </w:r>
          </w:p>
        </w:tc>
      </w:tr>
      <w:tr w:rsidR="00C93496" w:rsidRPr="002660A2" w14:paraId="1D900186" w14:textId="77777777" w:rsidTr="006403BD">
        <w:trPr>
          <w:trHeight w:val="44"/>
        </w:trPr>
        <w:tc>
          <w:tcPr>
            <w:tcW w:w="540" w:type="dxa"/>
            <w:shd w:val="clear" w:color="auto" w:fill="F2F2F2"/>
          </w:tcPr>
          <w:p w14:paraId="1C5B606A" w14:textId="77777777" w:rsidR="00C93496" w:rsidRPr="002660A2" w:rsidRDefault="00C93496" w:rsidP="003D283C">
            <w:pPr>
              <w:spacing w:after="0" w:line="240" w:lineRule="auto"/>
              <w:rPr>
                <w:rFonts w:ascii="Lato" w:hAnsi="Lato" w:cs="Arial"/>
                <w:color w:val="000000" w:themeColor="text1"/>
                <w:sz w:val="20"/>
                <w:szCs w:val="20"/>
              </w:rPr>
            </w:pPr>
          </w:p>
        </w:tc>
        <w:tc>
          <w:tcPr>
            <w:tcW w:w="2245" w:type="dxa"/>
            <w:shd w:val="clear" w:color="auto" w:fill="F2F2F2"/>
          </w:tcPr>
          <w:p w14:paraId="788E7FB9" w14:textId="50971668" w:rsidR="00C93496" w:rsidRPr="002660A2" w:rsidRDefault="00C93496" w:rsidP="003D283C">
            <w:pPr>
              <w:spacing w:after="0" w:line="240" w:lineRule="auto"/>
              <w:rPr>
                <w:rFonts w:ascii="Lato" w:hAnsi="Lato" w:cs="Arial"/>
                <w:b/>
                <w:color w:val="000000" w:themeColor="text1"/>
                <w:sz w:val="20"/>
                <w:szCs w:val="20"/>
              </w:rPr>
            </w:pPr>
            <w:r w:rsidRPr="002660A2">
              <w:rPr>
                <w:rFonts w:ascii="Lato" w:hAnsi="Lato" w:cs="Arial"/>
                <w:b/>
                <w:color w:val="000000" w:themeColor="text1"/>
                <w:sz w:val="20"/>
                <w:szCs w:val="20"/>
              </w:rPr>
              <w:t>Description</w:t>
            </w:r>
          </w:p>
        </w:tc>
        <w:tc>
          <w:tcPr>
            <w:tcW w:w="7650" w:type="dxa"/>
            <w:gridSpan w:val="3"/>
          </w:tcPr>
          <w:p w14:paraId="0DC6C569" w14:textId="3FB29236" w:rsidR="00C93496" w:rsidRPr="002660A2" w:rsidRDefault="00C93496" w:rsidP="003D283C">
            <w:pPr>
              <w:spacing w:after="0" w:line="240" w:lineRule="auto"/>
              <w:jc w:val="both"/>
              <w:rPr>
                <w:rFonts w:ascii="Lato" w:hAnsi="Lato" w:cs="Arial"/>
                <w:b/>
                <w:bCs/>
                <w:color w:val="000000" w:themeColor="text1"/>
                <w:sz w:val="20"/>
                <w:szCs w:val="20"/>
              </w:rPr>
            </w:pPr>
            <w:r w:rsidRPr="002660A2">
              <w:rPr>
                <w:rFonts w:ascii="Lato" w:hAnsi="Lato" w:cs="Arial"/>
                <w:b/>
                <w:bCs/>
                <w:color w:val="000000" w:themeColor="text1"/>
                <w:sz w:val="20"/>
                <w:szCs w:val="20"/>
              </w:rPr>
              <w:t xml:space="preserve">Minimum </w:t>
            </w:r>
            <w:r w:rsidR="00143323" w:rsidRPr="002660A2">
              <w:rPr>
                <w:rFonts w:ascii="Lato" w:hAnsi="Lato" w:cs="Arial"/>
                <w:b/>
                <w:bCs/>
                <w:color w:val="000000" w:themeColor="text1"/>
                <w:sz w:val="20"/>
                <w:szCs w:val="20"/>
              </w:rPr>
              <w:t>Qualifications</w:t>
            </w:r>
            <w:r w:rsidRPr="002660A2">
              <w:rPr>
                <w:rFonts w:ascii="Lato" w:hAnsi="Lato" w:cs="Arial"/>
                <w:b/>
                <w:bCs/>
                <w:color w:val="000000" w:themeColor="text1"/>
                <w:sz w:val="20"/>
                <w:szCs w:val="20"/>
              </w:rPr>
              <w:t xml:space="preserve"> and professional experience</w:t>
            </w:r>
          </w:p>
        </w:tc>
      </w:tr>
      <w:tr w:rsidR="00C93496" w:rsidRPr="002660A2" w14:paraId="544188BD" w14:textId="77777777" w:rsidTr="006403BD">
        <w:trPr>
          <w:trHeight w:val="831"/>
        </w:trPr>
        <w:tc>
          <w:tcPr>
            <w:tcW w:w="540" w:type="dxa"/>
            <w:shd w:val="clear" w:color="auto" w:fill="F2F2F2"/>
          </w:tcPr>
          <w:p w14:paraId="241B8048" w14:textId="77777777" w:rsidR="00C93496" w:rsidRPr="002660A2" w:rsidRDefault="00C93496" w:rsidP="003D283C">
            <w:pPr>
              <w:spacing w:after="0" w:line="240" w:lineRule="auto"/>
              <w:rPr>
                <w:rFonts w:ascii="Lato" w:hAnsi="Lato" w:cs="Arial"/>
                <w:color w:val="000000" w:themeColor="text1"/>
                <w:sz w:val="20"/>
                <w:szCs w:val="20"/>
              </w:rPr>
            </w:pPr>
          </w:p>
        </w:tc>
        <w:tc>
          <w:tcPr>
            <w:tcW w:w="2315" w:type="dxa"/>
            <w:gridSpan w:val="2"/>
          </w:tcPr>
          <w:p w14:paraId="4E14FDDB" w14:textId="0D4DA105" w:rsidR="00C93496" w:rsidRPr="002660A2" w:rsidRDefault="003D3A26" w:rsidP="003D283C">
            <w:pPr>
              <w:spacing w:afterLines="60" w:after="144" w:line="240" w:lineRule="auto"/>
              <w:rPr>
                <w:rFonts w:ascii="Lato" w:hAnsi="Lato" w:cs="Arial"/>
                <w:sz w:val="20"/>
                <w:szCs w:val="20"/>
                <w:lang w:val="en-GB"/>
              </w:rPr>
            </w:pPr>
            <w:r>
              <w:rPr>
                <w:rFonts w:ascii="Lato" w:hAnsi="Lato"/>
                <w:b/>
                <w:bCs/>
                <w:sz w:val="20"/>
                <w:szCs w:val="20"/>
              </w:rPr>
              <w:t>Education Sector Analysis and Education Sector Strategic Plan</w:t>
            </w:r>
          </w:p>
        </w:tc>
        <w:tc>
          <w:tcPr>
            <w:tcW w:w="7580" w:type="dxa"/>
            <w:gridSpan w:val="2"/>
          </w:tcPr>
          <w:p w14:paraId="37F10820" w14:textId="77777777" w:rsidR="0027700A" w:rsidRPr="0027700A" w:rsidRDefault="0027700A">
            <w:pPr>
              <w:pStyle w:val="ListParagraph"/>
              <w:numPr>
                <w:ilvl w:val="0"/>
                <w:numId w:val="1"/>
              </w:numPr>
              <w:spacing w:after="160" w:line="259" w:lineRule="auto"/>
              <w:jc w:val="both"/>
              <w:rPr>
                <w:rFonts w:ascii="Lato" w:hAnsi="Lato"/>
                <w:sz w:val="20"/>
                <w:szCs w:val="20"/>
              </w:rPr>
            </w:pPr>
            <w:r w:rsidRPr="0027700A">
              <w:rPr>
                <w:rFonts w:ascii="Lato" w:hAnsi="Lato"/>
                <w:sz w:val="20"/>
                <w:szCs w:val="20"/>
              </w:rPr>
              <w:t>Advanced degree (Master’s or PhD) in education planning, educational economics, development studies or a closely related field;</w:t>
            </w:r>
          </w:p>
          <w:p w14:paraId="34D17A95" w14:textId="77777777" w:rsidR="0027700A" w:rsidRPr="0027700A" w:rsidRDefault="0027700A">
            <w:pPr>
              <w:pStyle w:val="ListParagraph"/>
              <w:numPr>
                <w:ilvl w:val="0"/>
                <w:numId w:val="1"/>
              </w:numPr>
              <w:spacing w:after="160" w:line="259" w:lineRule="auto"/>
              <w:jc w:val="both"/>
              <w:rPr>
                <w:rFonts w:ascii="Lato" w:hAnsi="Lato"/>
                <w:sz w:val="20"/>
                <w:szCs w:val="20"/>
              </w:rPr>
            </w:pPr>
            <w:r w:rsidRPr="0027700A">
              <w:rPr>
                <w:rFonts w:ascii="Lato" w:hAnsi="Lato"/>
                <w:sz w:val="20"/>
                <w:szCs w:val="20"/>
              </w:rPr>
              <w:t>Minimum 10 years of relevant experience in education sector analysis, sector planning and strategic plan development in low-income or fragile/conflict-affected contexts;</w:t>
            </w:r>
          </w:p>
          <w:p w14:paraId="6358807E" w14:textId="77777777" w:rsidR="0027700A" w:rsidRPr="0027700A" w:rsidRDefault="0027700A">
            <w:pPr>
              <w:pStyle w:val="ListParagraph"/>
              <w:numPr>
                <w:ilvl w:val="0"/>
                <w:numId w:val="1"/>
              </w:numPr>
              <w:spacing w:after="160" w:line="259" w:lineRule="auto"/>
              <w:jc w:val="both"/>
              <w:rPr>
                <w:rFonts w:ascii="Lato" w:hAnsi="Lato"/>
                <w:sz w:val="20"/>
                <w:szCs w:val="20"/>
              </w:rPr>
            </w:pPr>
            <w:r w:rsidRPr="0027700A">
              <w:rPr>
                <w:rFonts w:ascii="Lato" w:hAnsi="Lato"/>
                <w:sz w:val="20"/>
                <w:szCs w:val="20"/>
              </w:rPr>
              <w:t>Demonstrated experience in developing or supporting the development of national Education Sector Strategic Plans, including in Sub-Saharan Africa or the Horn of Africa;</w:t>
            </w:r>
          </w:p>
          <w:p w14:paraId="55463DDC" w14:textId="77777777" w:rsidR="0027700A" w:rsidRPr="0027700A" w:rsidRDefault="0027700A">
            <w:pPr>
              <w:pStyle w:val="ListParagraph"/>
              <w:numPr>
                <w:ilvl w:val="0"/>
                <w:numId w:val="1"/>
              </w:numPr>
              <w:spacing w:after="160" w:line="259" w:lineRule="auto"/>
              <w:jc w:val="both"/>
              <w:rPr>
                <w:rFonts w:ascii="Lato" w:hAnsi="Lato"/>
                <w:sz w:val="20"/>
                <w:szCs w:val="20"/>
              </w:rPr>
            </w:pPr>
            <w:r w:rsidRPr="0027700A">
              <w:rPr>
                <w:rFonts w:ascii="Lato" w:hAnsi="Lato"/>
                <w:sz w:val="20"/>
                <w:szCs w:val="20"/>
              </w:rPr>
              <w:t>Strong expertise in education financing, simulation modelling and cost analysis;</w:t>
            </w:r>
          </w:p>
          <w:p w14:paraId="02C003D5" w14:textId="77777777" w:rsidR="0027700A" w:rsidRPr="0027700A" w:rsidRDefault="0027700A">
            <w:pPr>
              <w:pStyle w:val="ListParagraph"/>
              <w:numPr>
                <w:ilvl w:val="0"/>
                <w:numId w:val="1"/>
              </w:numPr>
              <w:spacing w:after="160" w:line="259" w:lineRule="auto"/>
              <w:jc w:val="both"/>
              <w:rPr>
                <w:rFonts w:ascii="Lato" w:hAnsi="Lato"/>
                <w:sz w:val="20"/>
                <w:szCs w:val="20"/>
              </w:rPr>
            </w:pPr>
            <w:r w:rsidRPr="0027700A">
              <w:rPr>
                <w:rFonts w:ascii="Lato" w:hAnsi="Lato"/>
                <w:sz w:val="20"/>
                <w:szCs w:val="20"/>
              </w:rPr>
              <w:t>Experience working with GPE-supported countries and familiarity with GPE guidelines for ESA and ESP preparation and appraisal;</w:t>
            </w:r>
          </w:p>
          <w:p w14:paraId="1B5FACDE" w14:textId="77777777" w:rsidR="0027700A" w:rsidRPr="0027700A" w:rsidRDefault="0027700A">
            <w:pPr>
              <w:pStyle w:val="ListParagraph"/>
              <w:numPr>
                <w:ilvl w:val="0"/>
                <w:numId w:val="1"/>
              </w:numPr>
              <w:spacing w:after="160" w:line="259" w:lineRule="auto"/>
              <w:jc w:val="both"/>
              <w:rPr>
                <w:rFonts w:ascii="Lato" w:hAnsi="Lato"/>
                <w:sz w:val="20"/>
                <w:szCs w:val="20"/>
              </w:rPr>
            </w:pPr>
            <w:r w:rsidRPr="0027700A">
              <w:rPr>
                <w:rFonts w:ascii="Lato" w:hAnsi="Lato"/>
                <w:sz w:val="20"/>
                <w:szCs w:val="20"/>
              </w:rPr>
              <w:t>Excellent facilitation, stakeholder engagement and communication skills;</w:t>
            </w:r>
          </w:p>
          <w:p w14:paraId="407773C1" w14:textId="77777777" w:rsidR="0027700A" w:rsidRPr="0027700A" w:rsidRDefault="0027700A">
            <w:pPr>
              <w:pStyle w:val="ListParagraph"/>
              <w:numPr>
                <w:ilvl w:val="0"/>
                <w:numId w:val="1"/>
              </w:numPr>
              <w:spacing w:after="160" w:line="259" w:lineRule="auto"/>
              <w:jc w:val="both"/>
              <w:rPr>
                <w:rFonts w:ascii="Lato" w:hAnsi="Lato"/>
                <w:sz w:val="20"/>
                <w:szCs w:val="20"/>
              </w:rPr>
            </w:pPr>
            <w:r w:rsidRPr="0027700A">
              <w:rPr>
                <w:rFonts w:ascii="Lato" w:hAnsi="Lato"/>
                <w:sz w:val="20"/>
                <w:szCs w:val="20"/>
              </w:rPr>
              <w:t>Fluency in written and spoken English; knowledge of Somali language is an asset.</w:t>
            </w:r>
          </w:p>
          <w:p w14:paraId="41A078F2" w14:textId="77777777" w:rsidR="0027700A" w:rsidRPr="0027700A" w:rsidRDefault="0027700A">
            <w:pPr>
              <w:pStyle w:val="ListParagraph"/>
              <w:numPr>
                <w:ilvl w:val="0"/>
                <w:numId w:val="1"/>
              </w:numPr>
              <w:spacing w:after="160" w:line="259" w:lineRule="auto"/>
              <w:jc w:val="both"/>
              <w:rPr>
                <w:rFonts w:ascii="Lato" w:hAnsi="Lato"/>
                <w:sz w:val="20"/>
                <w:szCs w:val="20"/>
              </w:rPr>
            </w:pPr>
            <w:r w:rsidRPr="0027700A">
              <w:rPr>
                <w:rFonts w:ascii="Lato" w:hAnsi="Lato"/>
                <w:sz w:val="20"/>
                <w:szCs w:val="20"/>
              </w:rPr>
              <w:t>Strong quantitative analytical skills and experience with education simulation models;</w:t>
            </w:r>
          </w:p>
          <w:p w14:paraId="444CC0D8" w14:textId="77777777" w:rsidR="0027700A" w:rsidRPr="0027700A" w:rsidRDefault="0027700A">
            <w:pPr>
              <w:pStyle w:val="ListParagraph"/>
              <w:numPr>
                <w:ilvl w:val="0"/>
                <w:numId w:val="1"/>
              </w:numPr>
              <w:spacing w:after="160" w:line="259" w:lineRule="auto"/>
              <w:jc w:val="both"/>
              <w:rPr>
                <w:rFonts w:ascii="Lato" w:hAnsi="Lato"/>
                <w:sz w:val="20"/>
                <w:szCs w:val="20"/>
              </w:rPr>
            </w:pPr>
            <w:r w:rsidRPr="0027700A">
              <w:rPr>
                <w:rFonts w:ascii="Lato" w:hAnsi="Lato"/>
                <w:sz w:val="20"/>
                <w:szCs w:val="20"/>
              </w:rPr>
              <w:t>Experience in learning assessment analysis (EGRA, EGMA or equivalent);</w:t>
            </w:r>
          </w:p>
          <w:p w14:paraId="4F8EEBA5" w14:textId="77777777" w:rsidR="0027700A" w:rsidRPr="0027700A" w:rsidRDefault="0027700A">
            <w:pPr>
              <w:pStyle w:val="ListParagraph"/>
              <w:numPr>
                <w:ilvl w:val="0"/>
                <w:numId w:val="1"/>
              </w:numPr>
              <w:spacing w:after="160" w:line="259" w:lineRule="auto"/>
              <w:jc w:val="both"/>
              <w:rPr>
                <w:rFonts w:ascii="Lato" w:hAnsi="Lato"/>
                <w:sz w:val="20"/>
                <w:szCs w:val="20"/>
              </w:rPr>
            </w:pPr>
            <w:r w:rsidRPr="0027700A">
              <w:rPr>
                <w:rFonts w:ascii="Lato" w:hAnsi="Lato"/>
                <w:sz w:val="20"/>
                <w:szCs w:val="20"/>
              </w:rPr>
              <w:t>Experience working with EMIS systems in Sub-Saharan Africa or similar contexts.</w:t>
            </w:r>
          </w:p>
          <w:p w14:paraId="38F2F63A" w14:textId="77777777" w:rsidR="0027700A" w:rsidRPr="0027700A" w:rsidRDefault="0027700A">
            <w:pPr>
              <w:pStyle w:val="ListParagraph"/>
              <w:numPr>
                <w:ilvl w:val="0"/>
                <w:numId w:val="1"/>
              </w:numPr>
              <w:spacing w:after="160" w:line="259" w:lineRule="auto"/>
              <w:jc w:val="both"/>
              <w:rPr>
                <w:rFonts w:ascii="Lato" w:hAnsi="Lato"/>
                <w:sz w:val="20"/>
                <w:szCs w:val="20"/>
              </w:rPr>
            </w:pPr>
            <w:r w:rsidRPr="0027700A">
              <w:rPr>
                <w:rFonts w:ascii="Lato" w:hAnsi="Lato"/>
                <w:sz w:val="20"/>
                <w:szCs w:val="20"/>
              </w:rPr>
              <w:lastRenderedPageBreak/>
              <w:t>Demonstrated experience in disability-inclusive education, nomadic/pastoralist education, and education for IDPs and marginalised groups;</w:t>
            </w:r>
          </w:p>
          <w:p w14:paraId="5BDCEE61" w14:textId="77777777" w:rsidR="0027700A" w:rsidRPr="0027700A" w:rsidRDefault="0027700A">
            <w:pPr>
              <w:pStyle w:val="ListParagraph"/>
              <w:numPr>
                <w:ilvl w:val="0"/>
                <w:numId w:val="1"/>
              </w:numPr>
              <w:spacing w:after="160" w:line="259" w:lineRule="auto"/>
              <w:jc w:val="both"/>
              <w:rPr>
                <w:rFonts w:ascii="Lato" w:hAnsi="Lato"/>
                <w:sz w:val="20"/>
                <w:szCs w:val="20"/>
              </w:rPr>
            </w:pPr>
            <w:r w:rsidRPr="0027700A">
              <w:rPr>
                <w:rFonts w:ascii="Lato" w:hAnsi="Lato"/>
                <w:sz w:val="20"/>
                <w:szCs w:val="20"/>
              </w:rPr>
              <w:t>Experience integrating gender and equity dimensions into ESPs and M&amp;E frameworks.</w:t>
            </w:r>
          </w:p>
          <w:p w14:paraId="45B1DAE0" w14:textId="77777777" w:rsidR="0027700A" w:rsidRPr="0027700A" w:rsidRDefault="0027700A">
            <w:pPr>
              <w:pStyle w:val="ListParagraph"/>
              <w:numPr>
                <w:ilvl w:val="0"/>
                <w:numId w:val="1"/>
              </w:numPr>
              <w:spacing w:after="160" w:line="259" w:lineRule="auto"/>
              <w:jc w:val="both"/>
              <w:rPr>
                <w:rFonts w:ascii="Lato" w:hAnsi="Lato"/>
                <w:sz w:val="20"/>
                <w:szCs w:val="20"/>
              </w:rPr>
            </w:pPr>
            <w:r w:rsidRPr="0027700A">
              <w:rPr>
                <w:rFonts w:ascii="Lato" w:hAnsi="Lato"/>
                <w:sz w:val="20"/>
                <w:szCs w:val="20"/>
              </w:rPr>
              <w:t>Familiarity with the Inter-Agency Network for Education in Emergencies (INEE) Minimum Standards;</w:t>
            </w:r>
          </w:p>
          <w:p w14:paraId="5710BB5F" w14:textId="48FCE61B" w:rsidR="0027700A" w:rsidRPr="0027700A" w:rsidRDefault="0027700A">
            <w:pPr>
              <w:pStyle w:val="ListParagraph"/>
              <w:numPr>
                <w:ilvl w:val="0"/>
                <w:numId w:val="1"/>
              </w:numPr>
              <w:spacing w:after="160" w:line="259" w:lineRule="auto"/>
              <w:jc w:val="both"/>
              <w:rPr>
                <w:rFonts w:ascii="Lato" w:hAnsi="Lato"/>
                <w:sz w:val="20"/>
                <w:szCs w:val="20"/>
              </w:rPr>
            </w:pPr>
            <w:r w:rsidRPr="0027700A">
              <w:rPr>
                <w:rFonts w:ascii="Lato" w:hAnsi="Lato"/>
                <w:sz w:val="20"/>
                <w:szCs w:val="20"/>
              </w:rPr>
              <w:t>Experience integrating EiE into sector-wide planning and M&amp;E frameworks.</w:t>
            </w:r>
          </w:p>
          <w:p w14:paraId="1161073B" w14:textId="27DCA773" w:rsidR="007463A2" w:rsidRPr="002660A2" w:rsidRDefault="007463A2">
            <w:pPr>
              <w:pStyle w:val="ListParagraph"/>
              <w:numPr>
                <w:ilvl w:val="0"/>
                <w:numId w:val="1"/>
              </w:numPr>
              <w:spacing w:after="160" w:line="259" w:lineRule="auto"/>
              <w:jc w:val="both"/>
              <w:rPr>
                <w:rFonts w:ascii="Lato" w:hAnsi="Lato"/>
                <w:sz w:val="20"/>
                <w:szCs w:val="20"/>
              </w:rPr>
            </w:pPr>
            <w:r w:rsidRPr="002660A2">
              <w:rPr>
                <w:rFonts w:ascii="Lato" w:hAnsi="Lato"/>
                <w:sz w:val="20"/>
                <w:szCs w:val="20"/>
              </w:rPr>
              <w:t>The ability to work effectively in challenging environments, demonstrating resilience and adaptability.</w:t>
            </w:r>
          </w:p>
          <w:p w14:paraId="525F2738" w14:textId="77777777" w:rsidR="007463A2" w:rsidRPr="002660A2" w:rsidRDefault="007463A2">
            <w:pPr>
              <w:pStyle w:val="ListParagraph"/>
              <w:numPr>
                <w:ilvl w:val="0"/>
                <w:numId w:val="1"/>
              </w:numPr>
              <w:spacing w:after="160" w:line="259" w:lineRule="auto"/>
              <w:jc w:val="both"/>
              <w:rPr>
                <w:rFonts w:ascii="Lato" w:hAnsi="Lato"/>
                <w:sz w:val="20"/>
                <w:szCs w:val="20"/>
              </w:rPr>
            </w:pPr>
            <w:r w:rsidRPr="002660A2">
              <w:rPr>
                <w:rFonts w:ascii="Lato" w:hAnsi="Lato"/>
                <w:sz w:val="20"/>
                <w:szCs w:val="20"/>
              </w:rPr>
              <w:t>Computer literacy and proficiency with Microsoft Office.</w:t>
            </w:r>
          </w:p>
          <w:p w14:paraId="165BA123" w14:textId="27705F72" w:rsidR="0038696C" w:rsidRPr="002660A2" w:rsidRDefault="007463A2">
            <w:pPr>
              <w:pStyle w:val="ListParagraph"/>
              <w:numPr>
                <w:ilvl w:val="0"/>
                <w:numId w:val="1"/>
              </w:numPr>
              <w:spacing w:line="259" w:lineRule="auto"/>
              <w:jc w:val="both"/>
              <w:rPr>
                <w:rFonts w:ascii="Lato" w:hAnsi="Lato"/>
                <w:sz w:val="20"/>
                <w:szCs w:val="20"/>
              </w:rPr>
            </w:pPr>
            <w:r w:rsidRPr="002660A2">
              <w:rPr>
                <w:rFonts w:ascii="Lato" w:hAnsi="Lato"/>
                <w:sz w:val="20"/>
                <w:szCs w:val="20"/>
              </w:rPr>
              <w:t>Commitment: Availability to complete the assignment within strict deadlines.</w:t>
            </w:r>
          </w:p>
        </w:tc>
      </w:tr>
      <w:tr w:rsidR="008D6DEE" w:rsidRPr="007D0AE3" w14:paraId="3C337307" w14:textId="77777777" w:rsidTr="006403BD">
        <w:trPr>
          <w:trHeight w:hRule="exact" w:val="598"/>
        </w:trPr>
        <w:tc>
          <w:tcPr>
            <w:tcW w:w="540" w:type="dxa"/>
            <w:shd w:val="clear" w:color="auto" w:fill="F2F2F2"/>
          </w:tcPr>
          <w:p w14:paraId="66D984AB" w14:textId="237ADF92" w:rsidR="008D6DEE" w:rsidRPr="007D0AE3" w:rsidRDefault="007463A2" w:rsidP="003D283C">
            <w:pPr>
              <w:spacing w:after="0" w:line="240" w:lineRule="auto"/>
              <w:rPr>
                <w:rFonts w:ascii="Lato" w:hAnsi="Lato" w:cs="Arial"/>
                <w:color w:val="000000" w:themeColor="text1"/>
                <w:sz w:val="20"/>
                <w:szCs w:val="20"/>
              </w:rPr>
            </w:pPr>
            <w:r w:rsidRPr="007D0AE3">
              <w:rPr>
                <w:rFonts w:ascii="Lato" w:hAnsi="Lato" w:cs="Arial"/>
                <w:color w:val="000000" w:themeColor="text1"/>
                <w:sz w:val="20"/>
                <w:szCs w:val="20"/>
              </w:rPr>
              <w:lastRenderedPageBreak/>
              <w:t>10</w:t>
            </w:r>
          </w:p>
        </w:tc>
        <w:tc>
          <w:tcPr>
            <w:tcW w:w="9895" w:type="dxa"/>
            <w:gridSpan w:val="4"/>
            <w:shd w:val="clear" w:color="auto" w:fill="F2F2F2"/>
          </w:tcPr>
          <w:p w14:paraId="756852CA" w14:textId="19D2FAEC" w:rsidR="008D6DEE" w:rsidRPr="007D0AE3" w:rsidRDefault="008D6DEE" w:rsidP="003D283C">
            <w:pPr>
              <w:spacing w:after="0" w:line="240" w:lineRule="auto"/>
              <w:jc w:val="both"/>
              <w:rPr>
                <w:rFonts w:ascii="Lato" w:hAnsi="Lato" w:cs="Arial"/>
                <w:b/>
                <w:color w:val="000000" w:themeColor="text1"/>
                <w:sz w:val="20"/>
                <w:szCs w:val="20"/>
              </w:rPr>
            </w:pPr>
            <w:r w:rsidRPr="007D0AE3">
              <w:rPr>
                <w:rFonts w:ascii="Lato" w:hAnsi="Lato" w:cs="Arial"/>
                <w:b/>
                <w:color w:val="000000" w:themeColor="text1"/>
                <w:sz w:val="20"/>
                <w:szCs w:val="20"/>
              </w:rPr>
              <w:t>EVALUATION CRITERIA</w:t>
            </w:r>
          </w:p>
          <w:p w14:paraId="02CE377D" w14:textId="08F26699" w:rsidR="008D6DEE" w:rsidRPr="007D0AE3" w:rsidRDefault="008D6DEE" w:rsidP="003D283C">
            <w:pPr>
              <w:spacing w:after="0" w:line="240" w:lineRule="auto"/>
              <w:jc w:val="both"/>
              <w:rPr>
                <w:rFonts w:ascii="Lato" w:hAnsi="Lato" w:cs="Arial"/>
                <w:bCs/>
                <w:color w:val="000000" w:themeColor="text1"/>
                <w:sz w:val="20"/>
                <w:szCs w:val="20"/>
              </w:rPr>
            </w:pPr>
            <w:r w:rsidRPr="007D0AE3">
              <w:rPr>
                <w:rFonts w:ascii="Lato" w:hAnsi="Lato" w:cs="Arial"/>
                <w:bCs/>
                <w:color w:val="000000" w:themeColor="text1"/>
                <w:sz w:val="20"/>
                <w:szCs w:val="20"/>
              </w:rPr>
              <w:t xml:space="preserve">The proposals submitted by consulting </w:t>
            </w:r>
            <w:r w:rsidR="00986234" w:rsidRPr="007D0AE3">
              <w:rPr>
                <w:rFonts w:ascii="Lato" w:hAnsi="Lato" w:cs="Arial"/>
                <w:bCs/>
                <w:color w:val="000000" w:themeColor="text1"/>
                <w:sz w:val="20"/>
                <w:szCs w:val="20"/>
              </w:rPr>
              <w:t>firms</w:t>
            </w:r>
            <w:r w:rsidRPr="007D0AE3">
              <w:rPr>
                <w:rFonts w:ascii="Lato" w:hAnsi="Lato" w:cs="Arial"/>
                <w:bCs/>
                <w:color w:val="000000" w:themeColor="text1"/>
                <w:sz w:val="20"/>
                <w:szCs w:val="20"/>
              </w:rPr>
              <w:t xml:space="preserve"> will be evaluated based on the following criteria:</w:t>
            </w:r>
          </w:p>
        </w:tc>
      </w:tr>
      <w:tr w:rsidR="008D6DEE" w:rsidRPr="007D0AE3" w14:paraId="0D2F1921" w14:textId="77777777" w:rsidTr="006403BD">
        <w:trPr>
          <w:trHeight w:hRule="exact" w:val="362"/>
        </w:trPr>
        <w:tc>
          <w:tcPr>
            <w:tcW w:w="540" w:type="dxa"/>
            <w:shd w:val="clear" w:color="auto" w:fill="F2F2F2"/>
          </w:tcPr>
          <w:p w14:paraId="2C6416E9" w14:textId="77777777" w:rsidR="008D6DEE" w:rsidRPr="007D0AE3" w:rsidRDefault="008D6DEE" w:rsidP="003D283C">
            <w:pPr>
              <w:spacing w:after="0" w:line="240" w:lineRule="auto"/>
              <w:rPr>
                <w:rFonts w:ascii="Lato" w:hAnsi="Lato" w:cs="Arial"/>
                <w:color w:val="000000" w:themeColor="text1"/>
                <w:sz w:val="20"/>
                <w:szCs w:val="20"/>
              </w:rPr>
            </w:pPr>
          </w:p>
        </w:tc>
        <w:tc>
          <w:tcPr>
            <w:tcW w:w="6842" w:type="dxa"/>
            <w:gridSpan w:val="3"/>
            <w:shd w:val="clear" w:color="auto" w:fill="F2F2F2"/>
          </w:tcPr>
          <w:p w14:paraId="16CFA677" w14:textId="2F27DF9A" w:rsidR="008D6DEE" w:rsidRPr="007D0AE3" w:rsidRDefault="00B03A00" w:rsidP="003D283C">
            <w:pPr>
              <w:spacing w:after="0" w:line="240" w:lineRule="auto"/>
              <w:jc w:val="both"/>
              <w:rPr>
                <w:rFonts w:ascii="Lato" w:hAnsi="Lato" w:cs="Arial"/>
                <w:b/>
                <w:color w:val="000000" w:themeColor="text1"/>
                <w:sz w:val="20"/>
                <w:szCs w:val="20"/>
              </w:rPr>
            </w:pPr>
            <w:r w:rsidRPr="007D0AE3">
              <w:rPr>
                <w:rFonts w:ascii="Lato" w:hAnsi="Lato" w:cs="Arial"/>
                <w:b/>
                <w:color w:val="000000" w:themeColor="text1"/>
                <w:sz w:val="20"/>
                <w:szCs w:val="20"/>
              </w:rPr>
              <w:t xml:space="preserve">Essential </w:t>
            </w:r>
            <w:r w:rsidR="008D6DEE" w:rsidRPr="007D0AE3">
              <w:rPr>
                <w:rFonts w:ascii="Lato" w:hAnsi="Lato" w:cs="Arial"/>
                <w:b/>
                <w:color w:val="000000" w:themeColor="text1"/>
                <w:sz w:val="20"/>
                <w:szCs w:val="20"/>
              </w:rPr>
              <w:t xml:space="preserve">Criteria </w:t>
            </w:r>
          </w:p>
        </w:tc>
        <w:tc>
          <w:tcPr>
            <w:tcW w:w="3053" w:type="dxa"/>
          </w:tcPr>
          <w:p w14:paraId="3731D116" w14:textId="0BDB6750" w:rsidR="008D6DEE" w:rsidRPr="007D0AE3" w:rsidRDefault="00EE59AB" w:rsidP="003D283C">
            <w:pPr>
              <w:spacing w:after="0" w:line="240" w:lineRule="auto"/>
              <w:jc w:val="center"/>
              <w:rPr>
                <w:rFonts w:ascii="Lato" w:hAnsi="Lato" w:cs="Arial"/>
                <w:b/>
                <w:color w:val="000000" w:themeColor="text1"/>
                <w:sz w:val="20"/>
                <w:szCs w:val="20"/>
              </w:rPr>
            </w:pPr>
            <w:r w:rsidRPr="007D0AE3">
              <w:rPr>
                <w:rFonts w:ascii="Lato" w:hAnsi="Lato" w:cs="Arial"/>
                <w:b/>
                <w:color w:val="000000" w:themeColor="text1"/>
                <w:sz w:val="20"/>
                <w:szCs w:val="20"/>
              </w:rPr>
              <w:t>Pass/Fail</w:t>
            </w:r>
          </w:p>
        </w:tc>
      </w:tr>
      <w:tr w:rsidR="008D6DEE" w:rsidRPr="007D0AE3" w14:paraId="0C6F8F13" w14:textId="77777777" w:rsidTr="006403BD">
        <w:trPr>
          <w:trHeight w:hRule="exact" w:val="1282"/>
        </w:trPr>
        <w:tc>
          <w:tcPr>
            <w:tcW w:w="540" w:type="dxa"/>
            <w:shd w:val="clear" w:color="auto" w:fill="F2F2F2"/>
          </w:tcPr>
          <w:p w14:paraId="52DFB579" w14:textId="72D37126" w:rsidR="008D6DEE" w:rsidRPr="007D0AE3" w:rsidRDefault="00830F9D" w:rsidP="003D283C">
            <w:pPr>
              <w:spacing w:after="0" w:line="240" w:lineRule="auto"/>
              <w:jc w:val="center"/>
              <w:rPr>
                <w:rFonts w:ascii="Lato" w:hAnsi="Lato" w:cs="Arial"/>
                <w:color w:val="000000" w:themeColor="text1"/>
                <w:sz w:val="20"/>
                <w:szCs w:val="20"/>
              </w:rPr>
            </w:pPr>
            <w:r w:rsidRPr="007D0AE3">
              <w:rPr>
                <w:rFonts w:ascii="Lato" w:hAnsi="Lato" w:cs="Arial"/>
                <w:color w:val="000000" w:themeColor="text1"/>
                <w:sz w:val="20"/>
                <w:szCs w:val="20"/>
              </w:rPr>
              <w:t>1</w:t>
            </w:r>
          </w:p>
        </w:tc>
        <w:tc>
          <w:tcPr>
            <w:tcW w:w="6842" w:type="dxa"/>
            <w:gridSpan w:val="3"/>
            <w:shd w:val="clear" w:color="auto" w:fill="F2F2F2"/>
          </w:tcPr>
          <w:p w14:paraId="44A9D872" w14:textId="1BA82D79" w:rsidR="002C5E2C" w:rsidRPr="007D0AE3" w:rsidRDefault="002C5E2C" w:rsidP="003D283C">
            <w:pPr>
              <w:spacing w:after="0" w:line="240" w:lineRule="auto"/>
              <w:jc w:val="both"/>
              <w:rPr>
                <w:rFonts w:ascii="Lato" w:hAnsi="Lato" w:cs="Arial"/>
                <w:bCs/>
                <w:color w:val="000000" w:themeColor="text1"/>
                <w:sz w:val="20"/>
                <w:szCs w:val="20"/>
              </w:rPr>
            </w:pPr>
            <w:r w:rsidRPr="007D0AE3">
              <w:rPr>
                <w:rFonts w:ascii="Lato" w:hAnsi="Lato" w:cs="Arial"/>
                <w:bCs/>
                <w:color w:val="000000" w:themeColor="text1"/>
                <w:sz w:val="20"/>
                <w:szCs w:val="20"/>
              </w:rPr>
              <w:t xml:space="preserve">The Bidder and its staff agree and </w:t>
            </w:r>
            <w:r w:rsidR="00143323" w:rsidRPr="007D0AE3">
              <w:rPr>
                <w:rFonts w:ascii="Lato" w:hAnsi="Lato" w:cs="Arial"/>
                <w:bCs/>
                <w:color w:val="000000" w:themeColor="text1"/>
                <w:sz w:val="20"/>
                <w:szCs w:val="20"/>
              </w:rPr>
              <w:t>sign</w:t>
            </w:r>
            <w:r w:rsidRPr="007D0AE3">
              <w:rPr>
                <w:rFonts w:ascii="Lato" w:hAnsi="Lato" w:cs="Arial"/>
                <w:bCs/>
                <w:color w:val="000000" w:themeColor="text1"/>
                <w:sz w:val="20"/>
                <w:szCs w:val="20"/>
              </w:rPr>
              <w:t xml:space="preserve"> to comply with SCI policies embedded </w:t>
            </w:r>
            <w:r w:rsidR="00DF1FDB" w:rsidRPr="007D0AE3">
              <w:rPr>
                <w:rFonts w:ascii="Lato" w:hAnsi="Lato" w:cs="Arial"/>
                <w:bCs/>
                <w:color w:val="000000" w:themeColor="text1"/>
                <w:sz w:val="20"/>
                <w:szCs w:val="20"/>
              </w:rPr>
              <w:t>below at</w:t>
            </w:r>
            <w:r w:rsidRPr="007D0AE3">
              <w:rPr>
                <w:rFonts w:ascii="Lato" w:hAnsi="Lato" w:cs="Arial"/>
                <w:bCs/>
                <w:color w:val="000000" w:themeColor="text1"/>
                <w:sz w:val="20"/>
                <w:szCs w:val="20"/>
              </w:rPr>
              <w:t xml:space="preserve"> this </w:t>
            </w:r>
            <w:r w:rsidR="0054737D">
              <w:rPr>
                <w:rFonts w:ascii="Lato" w:hAnsi="Lato" w:cs="Arial"/>
                <w:bCs/>
                <w:color w:val="000000" w:themeColor="text1"/>
                <w:sz w:val="20"/>
                <w:szCs w:val="20"/>
              </w:rPr>
              <w:t xml:space="preserve">Invitation </w:t>
            </w:r>
            <w:r w:rsidR="0031532D">
              <w:rPr>
                <w:rFonts w:ascii="Lato" w:hAnsi="Lato" w:cs="Arial"/>
                <w:bCs/>
                <w:color w:val="000000" w:themeColor="text1"/>
                <w:sz w:val="20"/>
                <w:szCs w:val="20"/>
              </w:rPr>
              <w:t>to</w:t>
            </w:r>
            <w:r w:rsidR="0054737D">
              <w:rPr>
                <w:rFonts w:ascii="Lato" w:hAnsi="Lato" w:cs="Arial"/>
                <w:bCs/>
                <w:color w:val="000000" w:themeColor="text1"/>
                <w:sz w:val="20"/>
                <w:szCs w:val="20"/>
              </w:rPr>
              <w:t xml:space="preserve"> Bid (</w:t>
            </w:r>
            <w:r w:rsidRPr="007D0AE3">
              <w:rPr>
                <w:rFonts w:ascii="Lato" w:hAnsi="Lato" w:cs="Arial"/>
                <w:bCs/>
                <w:color w:val="000000" w:themeColor="text1"/>
                <w:sz w:val="20"/>
                <w:szCs w:val="20"/>
              </w:rPr>
              <w:t>ITB</w:t>
            </w:r>
            <w:r w:rsidR="0054737D">
              <w:rPr>
                <w:rFonts w:ascii="Lato" w:hAnsi="Lato" w:cs="Arial"/>
                <w:bCs/>
                <w:color w:val="000000" w:themeColor="text1"/>
                <w:sz w:val="20"/>
                <w:szCs w:val="20"/>
              </w:rPr>
              <w:t>)</w:t>
            </w:r>
            <w:r w:rsidRPr="007D0AE3">
              <w:rPr>
                <w:rFonts w:ascii="Lato" w:hAnsi="Lato" w:cs="Arial"/>
                <w:bCs/>
                <w:color w:val="000000" w:themeColor="text1"/>
                <w:sz w:val="20"/>
                <w:szCs w:val="20"/>
              </w:rPr>
              <w:t xml:space="preserve">. The Bidder is to download below listed items, </w:t>
            </w:r>
            <w:r w:rsidR="00DF1FDB" w:rsidRPr="007D0AE3">
              <w:rPr>
                <w:rFonts w:ascii="Lato" w:hAnsi="Lato" w:cs="Arial"/>
                <w:bCs/>
                <w:color w:val="000000" w:themeColor="text1"/>
                <w:sz w:val="20"/>
                <w:szCs w:val="20"/>
              </w:rPr>
              <w:t>read, understand</w:t>
            </w:r>
            <w:r w:rsidRPr="007D0AE3">
              <w:rPr>
                <w:rFonts w:ascii="Lato" w:hAnsi="Lato" w:cs="Arial"/>
                <w:bCs/>
                <w:color w:val="000000" w:themeColor="text1"/>
                <w:sz w:val="20"/>
                <w:szCs w:val="20"/>
              </w:rPr>
              <w:t xml:space="preserve"> and sign off appropriate section in below.</w:t>
            </w:r>
          </w:p>
          <w:p w14:paraId="42E16468" w14:textId="77777777" w:rsidR="002C5E2C" w:rsidRPr="007D0AE3" w:rsidRDefault="002C5E2C" w:rsidP="003D283C">
            <w:pPr>
              <w:spacing w:after="0" w:line="240" w:lineRule="auto"/>
              <w:jc w:val="both"/>
              <w:rPr>
                <w:rFonts w:ascii="Lato" w:hAnsi="Lato" w:cs="Arial"/>
                <w:bCs/>
                <w:color w:val="000000" w:themeColor="text1"/>
                <w:sz w:val="20"/>
                <w:szCs w:val="20"/>
              </w:rPr>
            </w:pPr>
            <w:r w:rsidRPr="007D0AE3">
              <w:rPr>
                <w:rFonts w:ascii="Lato" w:hAnsi="Lato" w:cs="Arial"/>
                <w:bCs/>
                <w:color w:val="000000" w:themeColor="text1"/>
                <w:sz w:val="20"/>
                <w:szCs w:val="20"/>
              </w:rPr>
              <w:t>a) Terms &amp; Conditions of Bidding</w:t>
            </w:r>
          </w:p>
          <w:p w14:paraId="38CAB974" w14:textId="2F90D658" w:rsidR="00987A82" w:rsidRPr="007D0AE3" w:rsidRDefault="002C5E2C" w:rsidP="003D283C">
            <w:pPr>
              <w:spacing w:after="0" w:line="240" w:lineRule="auto"/>
              <w:jc w:val="both"/>
              <w:rPr>
                <w:rFonts w:ascii="Lato" w:hAnsi="Lato" w:cs="Arial"/>
                <w:bCs/>
                <w:color w:val="000000" w:themeColor="text1"/>
                <w:sz w:val="20"/>
                <w:szCs w:val="20"/>
              </w:rPr>
            </w:pPr>
            <w:r w:rsidRPr="007D0AE3">
              <w:rPr>
                <w:rFonts w:ascii="Lato" w:hAnsi="Lato" w:cs="Arial"/>
                <w:bCs/>
                <w:color w:val="000000" w:themeColor="text1"/>
                <w:sz w:val="20"/>
                <w:szCs w:val="20"/>
              </w:rPr>
              <w:t>b) Supplier Sustainability Policy and the included mandatory policies</w:t>
            </w:r>
          </w:p>
          <w:p w14:paraId="6B41C0FD" w14:textId="1D728EBC" w:rsidR="00987A82" w:rsidRPr="007D0AE3" w:rsidRDefault="00987A82" w:rsidP="003D283C">
            <w:pPr>
              <w:spacing w:after="0" w:line="240" w:lineRule="auto"/>
              <w:jc w:val="both"/>
              <w:rPr>
                <w:rFonts w:ascii="Lato" w:hAnsi="Lato" w:cs="Arial"/>
                <w:bCs/>
                <w:color w:val="000000" w:themeColor="text1"/>
                <w:sz w:val="20"/>
                <w:szCs w:val="20"/>
              </w:rPr>
            </w:pPr>
          </w:p>
        </w:tc>
        <w:tc>
          <w:tcPr>
            <w:tcW w:w="3053" w:type="dxa"/>
            <w:vAlign w:val="center"/>
          </w:tcPr>
          <w:p w14:paraId="5495A88A" w14:textId="627BB1A1" w:rsidR="008D6DEE" w:rsidRPr="007D0AE3" w:rsidRDefault="00EE59AB" w:rsidP="003D283C">
            <w:pPr>
              <w:spacing w:after="0" w:line="240" w:lineRule="auto"/>
              <w:jc w:val="center"/>
              <w:rPr>
                <w:rFonts w:ascii="Lato" w:hAnsi="Lato" w:cs="Arial"/>
                <w:b/>
                <w:color w:val="000000" w:themeColor="text1"/>
                <w:sz w:val="20"/>
                <w:szCs w:val="20"/>
              </w:rPr>
            </w:pPr>
            <w:r w:rsidRPr="007D0AE3">
              <w:rPr>
                <w:rFonts w:ascii="Lato" w:hAnsi="Lato" w:cs="Arial"/>
                <w:b/>
                <w:color w:val="000000" w:themeColor="text1"/>
                <w:sz w:val="20"/>
                <w:szCs w:val="20"/>
              </w:rPr>
              <w:t>Pass/Fail</w:t>
            </w:r>
          </w:p>
        </w:tc>
      </w:tr>
      <w:tr w:rsidR="00B03A00" w:rsidRPr="007D0AE3" w14:paraId="107ABA1A" w14:textId="77777777" w:rsidTr="006403BD">
        <w:trPr>
          <w:trHeight w:hRule="exact" w:val="364"/>
        </w:trPr>
        <w:tc>
          <w:tcPr>
            <w:tcW w:w="540" w:type="dxa"/>
            <w:shd w:val="clear" w:color="auto" w:fill="F2F2F2"/>
          </w:tcPr>
          <w:p w14:paraId="76E6FB86" w14:textId="7B49AD51" w:rsidR="00B03A00" w:rsidRPr="007D0AE3" w:rsidRDefault="0054543F" w:rsidP="003D283C">
            <w:pPr>
              <w:spacing w:after="0" w:line="240" w:lineRule="auto"/>
              <w:jc w:val="center"/>
              <w:rPr>
                <w:rFonts w:ascii="Lato" w:hAnsi="Lato" w:cs="Arial"/>
                <w:color w:val="000000" w:themeColor="text1"/>
                <w:sz w:val="20"/>
                <w:szCs w:val="20"/>
              </w:rPr>
            </w:pPr>
            <w:r w:rsidRPr="007D0AE3">
              <w:rPr>
                <w:rFonts w:ascii="Lato" w:hAnsi="Lato" w:cs="Arial"/>
                <w:color w:val="000000" w:themeColor="text1"/>
                <w:sz w:val="20"/>
                <w:szCs w:val="20"/>
              </w:rPr>
              <w:t>3</w:t>
            </w:r>
          </w:p>
        </w:tc>
        <w:tc>
          <w:tcPr>
            <w:tcW w:w="6842" w:type="dxa"/>
            <w:gridSpan w:val="3"/>
            <w:shd w:val="clear" w:color="auto" w:fill="F2F2F2"/>
          </w:tcPr>
          <w:p w14:paraId="164C32BA" w14:textId="43A8D942" w:rsidR="00B03A00" w:rsidRPr="007D0AE3" w:rsidRDefault="00BF0823" w:rsidP="003D283C">
            <w:pPr>
              <w:spacing w:after="0" w:line="240" w:lineRule="auto"/>
              <w:rPr>
                <w:rFonts w:ascii="Lato" w:hAnsi="Lato" w:cs="Arial"/>
                <w:bCs/>
                <w:color w:val="000000" w:themeColor="text1"/>
                <w:sz w:val="20"/>
                <w:szCs w:val="20"/>
              </w:rPr>
            </w:pPr>
            <w:r w:rsidRPr="007D0AE3">
              <w:rPr>
                <w:rFonts w:ascii="Lato" w:hAnsi="Lato" w:cs="Arial"/>
                <w:bCs/>
                <w:color w:val="000000" w:themeColor="text1"/>
                <w:sz w:val="20"/>
                <w:szCs w:val="20"/>
              </w:rPr>
              <w:t xml:space="preserve">A valid Certificate of </w:t>
            </w:r>
            <w:r w:rsidR="00AE5083" w:rsidRPr="007D0AE3">
              <w:rPr>
                <w:rFonts w:ascii="Lato" w:hAnsi="Lato" w:cs="Arial"/>
                <w:bCs/>
                <w:color w:val="000000" w:themeColor="text1"/>
                <w:sz w:val="20"/>
                <w:szCs w:val="20"/>
              </w:rPr>
              <w:t>Registration</w:t>
            </w:r>
            <w:r w:rsidR="00CB42AA" w:rsidRPr="007D0AE3">
              <w:rPr>
                <w:rFonts w:ascii="Lato" w:hAnsi="Lato" w:cs="Arial"/>
                <w:bCs/>
                <w:color w:val="000000" w:themeColor="text1"/>
                <w:sz w:val="20"/>
                <w:szCs w:val="20"/>
              </w:rPr>
              <w:t xml:space="preserve"> </w:t>
            </w:r>
            <w:r w:rsidR="00500826" w:rsidRPr="007D0AE3">
              <w:rPr>
                <w:rFonts w:ascii="Lato" w:hAnsi="Lato" w:cs="Arial"/>
                <w:bCs/>
                <w:color w:val="000000" w:themeColor="text1"/>
                <w:sz w:val="20"/>
                <w:szCs w:val="20"/>
              </w:rPr>
              <w:t xml:space="preserve">from relevant government authority </w:t>
            </w:r>
          </w:p>
        </w:tc>
        <w:tc>
          <w:tcPr>
            <w:tcW w:w="3053" w:type="dxa"/>
            <w:vAlign w:val="center"/>
          </w:tcPr>
          <w:p w14:paraId="0442C48B" w14:textId="7B170D26" w:rsidR="00B03A00" w:rsidRPr="007D0AE3" w:rsidRDefault="00560D71" w:rsidP="003D283C">
            <w:pPr>
              <w:spacing w:after="0" w:line="240" w:lineRule="auto"/>
              <w:jc w:val="center"/>
              <w:rPr>
                <w:rFonts w:ascii="Lato" w:hAnsi="Lato" w:cs="Arial"/>
                <w:b/>
                <w:color w:val="000000" w:themeColor="text1"/>
                <w:sz w:val="20"/>
                <w:szCs w:val="20"/>
              </w:rPr>
            </w:pPr>
            <w:r w:rsidRPr="007D0AE3">
              <w:rPr>
                <w:rFonts w:ascii="Lato" w:hAnsi="Lato" w:cs="Arial"/>
                <w:b/>
                <w:color w:val="000000" w:themeColor="text1"/>
                <w:sz w:val="20"/>
                <w:szCs w:val="20"/>
              </w:rPr>
              <w:t>Pass/Fail</w:t>
            </w:r>
          </w:p>
        </w:tc>
      </w:tr>
      <w:tr w:rsidR="00D9015D" w:rsidRPr="002660A2" w14:paraId="6D9A43A9" w14:textId="77777777" w:rsidTr="006403BD">
        <w:trPr>
          <w:trHeight w:hRule="exact" w:val="391"/>
        </w:trPr>
        <w:tc>
          <w:tcPr>
            <w:tcW w:w="540" w:type="dxa"/>
            <w:shd w:val="clear" w:color="auto" w:fill="F2F2F2"/>
          </w:tcPr>
          <w:p w14:paraId="1708CEA0" w14:textId="73E4F467" w:rsidR="00D9015D" w:rsidRPr="007D0AE3" w:rsidRDefault="0054543F" w:rsidP="003D283C">
            <w:pPr>
              <w:spacing w:after="0" w:line="240" w:lineRule="auto"/>
              <w:jc w:val="center"/>
              <w:rPr>
                <w:rFonts w:ascii="Lato" w:hAnsi="Lato" w:cs="Arial"/>
                <w:color w:val="000000" w:themeColor="text1"/>
                <w:sz w:val="20"/>
                <w:szCs w:val="20"/>
              </w:rPr>
            </w:pPr>
            <w:r w:rsidRPr="007D0AE3">
              <w:rPr>
                <w:rFonts w:ascii="Lato" w:hAnsi="Lato" w:cs="Arial"/>
                <w:color w:val="000000" w:themeColor="text1"/>
                <w:sz w:val="20"/>
                <w:szCs w:val="20"/>
              </w:rPr>
              <w:t>4</w:t>
            </w:r>
          </w:p>
        </w:tc>
        <w:tc>
          <w:tcPr>
            <w:tcW w:w="6842" w:type="dxa"/>
            <w:gridSpan w:val="3"/>
            <w:shd w:val="clear" w:color="auto" w:fill="F2F2F2"/>
          </w:tcPr>
          <w:p w14:paraId="47EB8300" w14:textId="2AE5F8A7" w:rsidR="00D9015D" w:rsidRPr="007D0AE3" w:rsidRDefault="00BF0823" w:rsidP="003D283C">
            <w:pPr>
              <w:spacing w:after="0" w:line="240" w:lineRule="auto"/>
              <w:jc w:val="both"/>
              <w:rPr>
                <w:rFonts w:ascii="Lato" w:hAnsi="Lato" w:cs="Arial"/>
                <w:bCs/>
                <w:color w:val="000000" w:themeColor="text1"/>
                <w:sz w:val="20"/>
                <w:szCs w:val="20"/>
              </w:rPr>
            </w:pPr>
            <w:r w:rsidRPr="007D0AE3">
              <w:rPr>
                <w:rFonts w:ascii="Lato" w:hAnsi="Lato" w:cs="Arial"/>
                <w:color w:val="000000" w:themeColor="text1"/>
                <w:sz w:val="20"/>
                <w:szCs w:val="20"/>
              </w:rPr>
              <w:t xml:space="preserve">A valid Tax </w:t>
            </w:r>
            <w:r w:rsidR="0004487E" w:rsidRPr="007D0AE3">
              <w:rPr>
                <w:rFonts w:ascii="Lato" w:hAnsi="Lato" w:cs="Arial"/>
                <w:color w:val="000000" w:themeColor="text1"/>
                <w:sz w:val="20"/>
                <w:szCs w:val="20"/>
              </w:rPr>
              <w:t xml:space="preserve">Compliance </w:t>
            </w:r>
            <w:r w:rsidR="0004487E" w:rsidRPr="007D0AE3">
              <w:rPr>
                <w:rFonts w:ascii="Lato" w:hAnsi="Lato" w:cs="Arial"/>
                <w:bCs/>
                <w:color w:val="000000" w:themeColor="text1"/>
                <w:sz w:val="20"/>
                <w:szCs w:val="20"/>
              </w:rPr>
              <w:t>from</w:t>
            </w:r>
            <w:r w:rsidR="00732FC2" w:rsidRPr="007D0AE3">
              <w:rPr>
                <w:rFonts w:ascii="Lato" w:hAnsi="Lato" w:cs="Arial"/>
                <w:bCs/>
                <w:color w:val="000000" w:themeColor="text1"/>
                <w:sz w:val="20"/>
                <w:szCs w:val="20"/>
              </w:rPr>
              <w:t xml:space="preserve"> relevant government authority</w:t>
            </w:r>
          </w:p>
        </w:tc>
        <w:tc>
          <w:tcPr>
            <w:tcW w:w="3053" w:type="dxa"/>
            <w:vAlign w:val="center"/>
          </w:tcPr>
          <w:p w14:paraId="310D7DA7" w14:textId="5CC50419" w:rsidR="00D9015D" w:rsidRPr="007D0AE3" w:rsidRDefault="00560D71" w:rsidP="003D283C">
            <w:pPr>
              <w:spacing w:after="0" w:line="240" w:lineRule="auto"/>
              <w:jc w:val="center"/>
              <w:rPr>
                <w:rFonts w:ascii="Lato" w:hAnsi="Lato" w:cs="Arial"/>
                <w:b/>
                <w:color w:val="000000" w:themeColor="text1"/>
                <w:sz w:val="20"/>
                <w:szCs w:val="20"/>
              </w:rPr>
            </w:pPr>
            <w:r w:rsidRPr="007D0AE3">
              <w:rPr>
                <w:rFonts w:ascii="Lato" w:hAnsi="Lato" w:cs="Arial"/>
                <w:b/>
                <w:color w:val="000000" w:themeColor="text1"/>
                <w:sz w:val="20"/>
                <w:szCs w:val="20"/>
              </w:rPr>
              <w:t>Pass/Fail</w:t>
            </w:r>
          </w:p>
        </w:tc>
      </w:tr>
      <w:tr w:rsidR="00B03A00" w:rsidRPr="002660A2" w14:paraId="0290719C" w14:textId="77777777" w:rsidTr="006403BD">
        <w:trPr>
          <w:trHeight w:hRule="exact" w:val="344"/>
        </w:trPr>
        <w:tc>
          <w:tcPr>
            <w:tcW w:w="540" w:type="dxa"/>
            <w:shd w:val="clear" w:color="auto" w:fill="F2F2F2"/>
          </w:tcPr>
          <w:p w14:paraId="3ED75966" w14:textId="77777777" w:rsidR="00B03A00" w:rsidRPr="002660A2" w:rsidRDefault="00B03A00" w:rsidP="003D283C">
            <w:pPr>
              <w:spacing w:after="0" w:line="240" w:lineRule="auto"/>
              <w:jc w:val="center"/>
              <w:rPr>
                <w:rFonts w:ascii="Lato" w:hAnsi="Lato" w:cs="Arial"/>
                <w:color w:val="000000" w:themeColor="text1"/>
                <w:sz w:val="20"/>
                <w:szCs w:val="20"/>
              </w:rPr>
            </w:pPr>
          </w:p>
        </w:tc>
        <w:tc>
          <w:tcPr>
            <w:tcW w:w="9895" w:type="dxa"/>
            <w:gridSpan w:val="4"/>
          </w:tcPr>
          <w:p w14:paraId="4D516B70" w14:textId="77777777" w:rsidR="00B03A00" w:rsidRPr="002660A2" w:rsidRDefault="00892035" w:rsidP="003D283C">
            <w:pPr>
              <w:spacing w:after="0" w:line="240" w:lineRule="auto"/>
              <w:rPr>
                <w:rFonts w:ascii="Lato" w:hAnsi="Lato" w:cs="Arial"/>
                <w:b/>
                <w:color w:val="000000" w:themeColor="text1"/>
                <w:sz w:val="20"/>
                <w:szCs w:val="20"/>
              </w:rPr>
            </w:pPr>
            <w:r w:rsidRPr="002660A2">
              <w:rPr>
                <w:rFonts w:ascii="Lato" w:hAnsi="Lato" w:cs="Arial"/>
                <w:b/>
                <w:color w:val="000000" w:themeColor="text1"/>
                <w:sz w:val="20"/>
                <w:szCs w:val="20"/>
              </w:rPr>
              <w:t>Capability Criteria (Technical Evaluation):</w:t>
            </w:r>
          </w:p>
          <w:p w14:paraId="59ADFB59" w14:textId="22DF4500" w:rsidR="00F8747D" w:rsidRPr="002660A2" w:rsidRDefault="00F8747D" w:rsidP="003D283C">
            <w:pPr>
              <w:spacing w:after="0" w:line="240" w:lineRule="auto"/>
              <w:rPr>
                <w:rFonts w:ascii="Lato" w:hAnsi="Lato" w:cs="Arial"/>
                <w:b/>
                <w:color w:val="000000" w:themeColor="text1"/>
                <w:sz w:val="20"/>
                <w:szCs w:val="20"/>
              </w:rPr>
            </w:pPr>
          </w:p>
        </w:tc>
      </w:tr>
      <w:tr w:rsidR="00885B41" w:rsidRPr="002660A2" w14:paraId="055661E6" w14:textId="77777777" w:rsidTr="00885B41">
        <w:trPr>
          <w:trHeight w:val="2138"/>
        </w:trPr>
        <w:tc>
          <w:tcPr>
            <w:tcW w:w="540" w:type="dxa"/>
            <w:shd w:val="clear" w:color="auto" w:fill="F2F2F2"/>
          </w:tcPr>
          <w:p w14:paraId="7CC319BC" w14:textId="7F03F863" w:rsidR="00885B41" w:rsidRPr="002660A2" w:rsidRDefault="00885B41" w:rsidP="00885B41">
            <w:pPr>
              <w:spacing w:after="0" w:line="240" w:lineRule="auto"/>
              <w:jc w:val="center"/>
              <w:rPr>
                <w:rFonts w:ascii="Lato" w:hAnsi="Lato" w:cs="Arial"/>
                <w:color w:val="000000" w:themeColor="text1"/>
                <w:sz w:val="20"/>
                <w:szCs w:val="20"/>
              </w:rPr>
            </w:pPr>
            <w:r w:rsidRPr="002660A2">
              <w:rPr>
                <w:rFonts w:ascii="Lato" w:hAnsi="Lato" w:cs="Arial"/>
                <w:color w:val="000000" w:themeColor="text1"/>
                <w:sz w:val="20"/>
                <w:szCs w:val="20"/>
              </w:rPr>
              <w:t>5</w:t>
            </w:r>
          </w:p>
        </w:tc>
        <w:tc>
          <w:tcPr>
            <w:tcW w:w="6842" w:type="dxa"/>
            <w:gridSpan w:val="3"/>
          </w:tcPr>
          <w:p w14:paraId="2E5CE0C0" w14:textId="77777777" w:rsidR="00885B41" w:rsidRPr="002660A2" w:rsidRDefault="00885B41" w:rsidP="00885B41">
            <w:pPr>
              <w:spacing w:after="0" w:line="240" w:lineRule="auto"/>
              <w:jc w:val="both"/>
              <w:rPr>
                <w:rFonts w:ascii="Lato" w:hAnsi="Lato" w:cs="Arial"/>
                <w:sz w:val="20"/>
                <w:szCs w:val="20"/>
                <w:lang w:val="en-GB"/>
              </w:rPr>
            </w:pPr>
            <w:r w:rsidRPr="009E7B7E">
              <w:rPr>
                <w:rFonts w:ascii="Lato" w:hAnsi="Lato" w:cs="Arial"/>
                <w:sz w:val="20"/>
                <w:szCs w:val="20"/>
                <w:lang w:val="en-GB"/>
              </w:rPr>
              <w:t xml:space="preserve">Bidders are required to submit a detailed </w:t>
            </w:r>
            <w:r w:rsidRPr="0031532D">
              <w:rPr>
                <w:rFonts w:ascii="Lato" w:hAnsi="Lato" w:cs="Arial"/>
                <w:b/>
                <w:bCs/>
                <w:i/>
                <w:iCs/>
                <w:sz w:val="20"/>
                <w:szCs w:val="20"/>
                <w:lang w:val="en-GB"/>
              </w:rPr>
              <w:t xml:space="preserve">Technical and financial proposal </w:t>
            </w:r>
            <w:r w:rsidRPr="009E7B7E">
              <w:rPr>
                <w:rFonts w:ascii="Lato" w:hAnsi="Lato" w:cs="Arial"/>
                <w:sz w:val="20"/>
                <w:szCs w:val="20"/>
                <w:lang w:val="en-GB"/>
              </w:rPr>
              <w:t>outlining all necessary expenses. The proposals must be comprehensive and inclusive of all applicable taxes and statutory requirements</w:t>
            </w:r>
            <w:r w:rsidRPr="002660A2">
              <w:rPr>
                <w:rFonts w:ascii="Lato" w:hAnsi="Lato" w:cs="Arial"/>
                <w:sz w:val="20"/>
                <w:szCs w:val="20"/>
                <w:lang w:val="en-GB"/>
              </w:rPr>
              <w:t>.</w:t>
            </w:r>
          </w:p>
          <w:p w14:paraId="271D6949" w14:textId="77777777" w:rsidR="00885B41" w:rsidRDefault="00885B41" w:rsidP="00885B41">
            <w:pPr>
              <w:spacing w:after="0" w:line="240" w:lineRule="auto"/>
              <w:jc w:val="both"/>
              <w:rPr>
                <w:rFonts w:ascii="Lato" w:hAnsi="Lato"/>
                <w:b/>
                <w:bCs/>
                <w:sz w:val="20"/>
                <w:szCs w:val="20"/>
              </w:rPr>
            </w:pPr>
          </w:p>
          <w:p w14:paraId="269755BB" w14:textId="10C9C1D3" w:rsidR="00885B41" w:rsidRPr="002C70C4" w:rsidRDefault="00885B41" w:rsidP="00885B41">
            <w:pPr>
              <w:spacing w:after="0" w:line="240" w:lineRule="auto"/>
              <w:jc w:val="both"/>
              <w:rPr>
                <w:rFonts w:ascii="Lato" w:hAnsi="Lato"/>
                <w:b/>
                <w:bCs/>
                <w:sz w:val="20"/>
                <w:szCs w:val="20"/>
              </w:rPr>
            </w:pPr>
            <w:r w:rsidRPr="002C70C4">
              <w:rPr>
                <w:rFonts w:ascii="Lato" w:hAnsi="Lato"/>
                <w:b/>
                <w:bCs/>
                <w:sz w:val="20"/>
                <w:szCs w:val="20"/>
              </w:rPr>
              <w:t>Compliance with consultancy requirements:</w:t>
            </w:r>
          </w:p>
          <w:p w14:paraId="16C0A20E" w14:textId="77777777" w:rsidR="00885B41" w:rsidRPr="00B9785D" w:rsidRDefault="00885B41" w:rsidP="008118DD">
            <w:pPr>
              <w:pStyle w:val="ListParagraph"/>
              <w:numPr>
                <w:ilvl w:val="0"/>
                <w:numId w:val="2"/>
              </w:numPr>
              <w:jc w:val="both"/>
              <w:rPr>
                <w:rFonts w:ascii="Lato" w:hAnsi="Lato"/>
                <w:color w:val="000000"/>
                <w:sz w:val="20"/>
                <w:szCs w:val="20"/>
              </w:rPr>
            </w:pPr>
            <w:r w:rsidRPr="00B9785D">
              <w:rPr>
                <w:rFonts w:ascii="Lato" w:hAnsi="Lato"/>
                <w:color w:val="000000"/>
                <w:sz w:val="20"/>
                <w:szCs w:val="20"/>
              </w:rPr>
              <w:t xml:space="preserve">Responsiveness of the technical proposal to </w:t>
            </w:r>
            <w:proofErr w:type="spellStart"/>
            <w:r w:rsidRPr="00B9785D">
              <w:rPr>
                <w:rFonts w:ascii="Lato" w:hAnsi="Lato"/>
                <w:color w:val="000000"/>
                <w:sz w:val="20"/>
                <w:szCs w:val="20"/>
              </w:rPr>
              <w:t>ToR</w:t>
            </w:r>
            <w:proofErr w:type="spellEnd"/>
            <w:r w:rsidRPr="00B9785D">
              <w:rPr>
                <w:rFonts w:ascii="Lato" w:hAnsi="Lato"/>
                <w:color w:val="000000"/>
                <w:sz w:val="20"/>
                <w:szCs w:val="20"/>
              </w:rPr>
              <w:t>.</w:t>
            </w:r>
            <w:r>
              <w:rPr>
                <w:rFonts w:ascii="Lato" w:hAnsi="Lato"/>
                <w:color w:val="000000"/>
                <w:sz w:val="20"/>
                <w:szCs w:val="20"/>
              </w:rPr>
              <w:t xml:space="preserve"> 10 Marks</w:t>
            </w:r>
          </w:p>
          <w:p w14:paraId="7715B29F" w14:textId="77777777" w:rsidR="00885B41" w:rsidRDefault="00885B41" w:rsidP="00ED7D78">
            <w:pPr>
              <w:pStyle w:val="ListParagraph"/>
              <w:numPr>
                <w:ilvl w:val="0"/>
                <w:numId w:val="2"/>
              </w:numPr>
              <w:jc w:val="both"/>
              <w:rPr>
                <w:rFonts w:ascii="Lato" w:hAnsi="Lato"/>
                <w:color w:val="000000"/>
                <w:sz w:val="20"/>
                <w:szCs w:val="20"/>
              </w:rPr>
            </w:pPr>
            <w:r w:rsidRPr="004340EE">
              <w:rPr>
                <w:rFonts w:ascii="Lato" w:hAnsi="Lato"/>
                <w:color w:val="000000"/>
                <w:sz w:val="20"/>
                <w:szCs w:val="20"/>
              </w:rPr>
              <w:t>Methodology and techniques to be applied well stipulated</w:t>
            </w:r>
            <w:r>
              <w:rPr>
                <w:rFonts w:ascii="Lato" w:hAnsi="Lato"/>
                <w:color w:val="000000"/>
                <w:sz w:val="20"/>
                <w:szCs w:val="20"/>
              </w:rPr>
              <w:t>. 8 Marks</w:t>
            </w:r>
          </w:p>
          <w:p w14:paraId="63BF4E29" w14:textId="7CEE7D1B" w:rsidR="00885B41" w:rsidRPr="00EC7030" w:rsidRDefault="00885B41" w:rsidP="00885B41">
            <w:pPr>
              <w:pStyle w:val="ListParagraph"/>
              <w:numPr>
                <w:ilvl w:val="0"/>
                <w:numId w:val="2"/>
              </w:numPr>
              <w:jc w:val="both"/>
              <w:rPr>
                <w:rFonts w:ascii="Lato" w:hAnsi="Lato"/>
                <w:color w:val="000000"/>
                <w:sz w:val="20"/>
                <w:szCs w:val="20"/>
              </w:rPr>
            </w:pPr>
            <w:r w:rsidRPr="004E21B1">
              <w:rPr>
                <w:rFonts w:ascii="Lato" w:hAnsi="Lato"/>
                <w:color w:val="000000"/>
                <w:sz w:val="20"/>
                <w:szCs w:val="20"/>
              </w:rPr>
              <w:t xml:space="preserve">Clear description </w:t>
            </w:r>
            <w:r w:rsidR="00C11E7C">
              <w:rPr>
                <w:rFonts w:ascii="Lato" w:hAnsi="Lato"/>
                <w:color w:val="000000"/>
                <w:sz w:val="20"/>
                <w:szCs w:val="20"/>
              </w:rPr>
              <w:t xml:space="preserve">and interpretation </w:t>
            </w:r>
            <w:r w:rsidRPr="004E21B1">
              <w:rPr>
                <w:rFonts w:ascii="Lato" w:hAnsi="Lato"/>
                <w:color w:val="000000"/>
                <w:sz w:val="20"/>
                <w:szCs w:val="20"/>
              </w:rPr>
              <w:t>of tasks in the Scope of Work</w:t>
            </w:r>
            <w:r>
              <w:rPr>
                <w:rFonts w:ascii="Lato" w:hAnsi="Lato"/>
                <w:color w:val="000000"/>
                <w:sz w:val="20"/>
                <w:szCs w:val="20"/>
              </w:rPr>
              <w:t xml:space="preserve">. </w:t>
            </w:r>
            <w:r w:rsidR="00C11E7C">
              <w:rPr>
                <w:rFonts w:ascii="Lato" w:hAnsi="Lato"/>
                <w:color w:val="000000"/>
                <w:sz w:val="20"/>
                <w:szCs w:val="20"/>
              </w:rPr>
              <w:t xml:space="preserve">   </w:t>
            </w:r>
            <w:r>
              <w:rPr>
                <w:rFonts w:ascii="Lato" w:hAnsi="Lato"/>
                <w:color w:val="000000"/>
                <w:sz w:val="20"/>
                <w:szCs w:val="20"/>
              </w:rPr>
              <w:t xml:space="preserve">7 Marks </w:t>
            </w:r>
          </w:p>
        </w:tc>
        <w:tc>
          <w:tcPr>
            <w:tcW w:w="3053" w:type="dxa"/>
            <w:vAlign w:val="center"/>
          </w:tcPr>
          <w:p w14:paraId="3D266751" w14:textId="2F6B4CEE" w:rsidR="00885B41" w:rsidRPr="002660A2" w:rsidRDefault="00885B41" w:rsidP="00885B41">
            <w:pPr>
              <w:spacing w:after="0" w:line="240" w:lineRule="auto"/>
              <w:jc w:val="center"/>
              <w:rPr>
                <w:rFonts w:ascii="Lato" w:hAnsi="Lato" w:cs="Arial"/>
                <w:b/>
                <w:color w:val="000000" w:themeColor="text1"/>
                <w:sz w:val="20"/>
                <w:szCs w:val="20"/>
              </w:rPr>
            </w:pPr>
            <w:r>
              <w:rPr>
                <w:rFonts w:ascii="Lato" w:hAnsi="Lato" w:cs="Arial"/>
                <w:b/>
                <w:sz w:val="20"/>
                <w:szCs w:val="20"/>
              </w:rPr>
              <w:t>25</w:t>
            </w:r>
            <w:r w:rsidRPr="007D0AE3">
              <w:rPr>
                <w:rFonts w:ascii="Lato" w:hAnsi="Lato" w:cs="Arial"/>
                <w:b/>
                <w:sz w:val="20"/>
                <w:szCs w:val="20"/>
              </w:rPr>
              <w:t xml:space="preserve"> Marks</w:t>
            </w:r>
          </w:p>
        </w:tc>
      </w:tr>
      <w:tr w:rsidR="00A311C5" w:rsidRPr="002660A2" w14:paraId="11821EDE" w14:textId="77777777" w:rsidTr="00885B41">
        <w:trPr>
          <w:trHeight w:val="2840"/>
        </w:trPr>
        <w:tc>
          <w:tcPr>
            <w:tcW w:w="540" w:type="dxa"/>
            <w:shd w:val="clear" w:color="auto" w:fill="F2F2F2"/>
          </w:tcPr>
          <w:p w14:paraId="7C2CA84E" w14:textId="2382876A" w:rsidR="00A311C5" w:rsidRPr="002660A2" w:rsidRDefault="00C436EF" w:rsidP="00A311C5">
            <w:pPr>
              <w:spacing w:after="0" w:line="240" w:lineRule="auto"/>
              <w:jc w:val="center"/>
              <w:rPr>
                <w:rFonts w:ascii="Lato" w:hAnsi="Lato" w:cs="Arial"/>
                <w:color w:val="000000" w:themeColor="text1"/>
                <w:sz w:val="20"/>
                <w:szCs w:val="20"/>
              </w:rPr>
            </w:pPr>
            <w:r>
              <w:rPr>
                <w:rFonts w:ascii="Lato" w:hAnsi="Lato" w:cs="Arial"/>
                <w:color w:val="000000" w:themeColor="text1"/>
                <w:sz w:val="20"/>
                <w:szCs w:val="20"/>
              </w:rPr>
              <w:t>6</w:t>
            </w:r>
          </w:p>
        </w:tc>
        <w:tc>
          <w:tcPr>
            <w:tcW w:w="6842" w:type="dxa"/>
            <w:gridSpan w:val="3"/>
          </w:tcPr>
          <w:p w14:paraId="4C469F24" w14:textId="1D337509" w:rsidR="00A311C5" w:rsidRPr="009E2E2C" w:rsidRDefault="00A311C5" w:rsidP="00A311C5">
            <w:pPr>
              <w:spacing w:after="0" w:line="240" w:lineRule="auto"/>
              <w:jc w:val="both"/>
              <w:rPr>
                <w:rFonts w:ascii="Lato" w:hAnsi="Lato" w:cs="Arial"/>
                <w:b/>
                <w:bCs/>
                <w:sz w:val="20"/>
                <w:szCs w:val="20"/>
              </w:rPr>
            </w:pPr>
            <w:r w:rsidRPr="00116EBF">
              <w:rPr>
                <w:rFonts w:ascii="Lato" w:hAnsi="Lato" w:cs="Arial"/>
                <w:b/>
                <w:bCs/>
                <w:sz w:val="20"/>
                <w:szCs w:val="20"/>
              </w:rPr>
              <w:t xml:space="preserve"> For technical lead Experts:</w:t>
            </w:r>
          </w:p>
          <w:p w14:paraId="4C541014" w14:textId="77777777" w:rsidR="00A311C5" w:rsidRPr="002660A2" w:rsidRDefault="00A311C5" w:rsidP="00A311C5">
            <w:pPr>
              <w:pStyle w:val="ListParagraph"/>
              <w:numPr>
                <w:ilvl w:val="0"/>
                <w:numId w:val="2"/>
              </w:numPr>
              <w:jc w:val="both"/>
              <w:rPr>
                <w:rFonts w:ascii="Lato" w:hAnsi="Lato" w:cs="Segoe UI Emoji"/>
                <w:sz w:val="20"/>
                <w:szCs w:val="20"/>
              </w:rPr>
            </w:pPr>
            <w:r w:rsidRPr="002660A2">
              <w:rPr>
                <w:rFonts w:ascii="Lato" w:hAnsi="Lato" w:cs="Segoe UI Emoji"/>
                <w:sz w:val="20"/>
                <w:szCs w:val="20"/>
              </w:rPr>
              <w:t xml:space="preserve">Advanced degree in education or relevant field (Master/PhD) </w:t>
            </w:r>
            <w:r w:rsidRPr="002660A2">
              <w:rPr>
                <w:rFonts w:ascii="Lato" w:hAnsi="Lato" w:cs="Segoe UI Emoji"/>
                <w:b/>
                <w:bCs/>
                <w:sz w:val="20"/>
                <w:szCs w:val="20"/>
              </w:rPr>
              <w:t>3 marks</w:t>
            </w:r>
          </w:p>
          <w:p w14:paraId="4FF9AD9A" w14:textId="77777777" w:rsidR="00A311C5" w:rsidRPr="002660A2" w:rsidRDefault="00A311C5" w:rsidP="00A311C5">
            <w:pPr>
              <w:pStyle w:val="ListParagraph"/>
              <w:numPr>
                <w:ilvl w:val="0"/>
                <w:numId w:val="2"/>
              </w:numPr>
              <w:jc w:val="both"/>
              <w:rPr>
                <w:rFonts w:ascii="Lato" w:hAnsi="Lato" w:cs="Segoe UI Emoji"/>
                <w:sz w:val="20"/>
                <w:szCs w:val="20"/>
              </w:rPr>
            </w:pPr>
            <w:r w:rsidRPr="002660A2">
              <w:rPr>
                <w:rFonts w:ascii="Lato" w:hAnsi="Lato" w:cs="Segoe UI Emoji"/>
                <w:sz w:val="20"/>
                <w:szCs w:val="20"/>
              </w:rPr>
              <w:t>Minimum 10 years of relevant experience in education sector</w:t>
            </w:r>
            <w:r>
              <w:rPr>
                <w:rFonts w:ascii="Lato" w:hAnsi="Lato" w:cs="Segoe UI Emoji"/>
                <w:sz w:val="20"/>
                <w:szCs w:val="20"/>
              </w:rPr>
              <w:t xml:space="preserve"> - </w:t>
            </w:r>
            <w:r w:rsidRPr="002660A2">
              <w:rPr>
                <w:rFonts w:ascii="Lato" w:hAnsi="Lato" w:cs="Segoe UI Emoji"/>
                <w:b/>
                <w:bCs/>
                <w:sz w:val="20"/>
                <w:szCs w:val="20"/>
              </w:rPr>
              <w:t>4 marks</w:t>
            </w:r>
            <w:r>
              <w:rPr>
                <w:rFonts w:ascii="Lato" w:hAnsi="Lato" w:cs="Segoe UI Emoji"/>
                <w:b/>
                <w:bCs/>
                <w:sz w:val="20"/>
                <w:szCs w:val="20"/>
              </w:rPr>
              <w:t>.</w:t>
            </w:r>
          </w:p>
          <w:p w14:paraId="3885BAB9" w14:textId="77777777" w:rsidR="00A311C5" w:rsidRPr="002660A2" w:rsidRDefault="00A311C5" w:rsidP="00A311C5">
            <w:pPr>
              <w:pStyle w:val="ListParagraph"/>
              <w:numPr>
                <w:ilvl w:val="0"/>
                <w:numId w:val="2"/>
              </w:numPr>
              <w:jc w:val="both"/>
              <w:rPr>
                <w:rFonts w:ascii="Lato" w:hAnsi="Lato" w:cs="Segoe UI Emoji"/>
                <w:sz w:val="20"/>
                <w:szCs w:val="20"/>
              </w:rPr>
            </w:pPr>
            <w:r w:rsidRPr="002660A2">
              <w:rPr>
                <w:rFonts w:ascii="Lato" w:hAnsi="Lato" w:cs="Segoe UI Emoji"/>
                <w:sz w:val="20"/>
                <w:szCs w:val="20"/>
              </w:rPr>
              <w:t xml:space="preserve">Proven track record leading or </w:t>
            </w:r>
            <w:r>
              <w:rPr>
                <w:rFonts w:ascii="Lato" w:hAnsi="Lato" w:cs="Segoe UI Emoji"/>
                <w:sz w:val="20"/>
                <w:szCs w:val="20"/>
              </w:rPr>
              <w:t>co-leading</w:t>
            </w:r>
            <w:r w:rsidRPr="002660A2">
              <w:rPr>
                <w:rFonts w:ascii="Lato" w:hAnsi="Lato" w:cs="Segoe UI Emoji"/>
                <w:sz w:val="20"/>
                <w:szCs w:val="20"/>
              </w:rPr>
              <w:t xml:space="preserve"> in </w:t>
            </w:r>
            <w:r>
              <w:rPr>
                <w:rFonts w:ascii="Lato" w:hAnsi="Lato" w:cs="Segoe UI Emoji"/>
                <w:sz w:val="20"/>
                <w:szCs w:val="20"/>
              </w:rPr>
              <w:t xml:space="preserve">ESA and/or ESSP - </w:t>
            </w:r>
            <w:r w:rsidRPr="00F23F08">
              <w:rPr>
                <w:rFonts w:ascii="Lato" w:hAnsi="Lato" w:cs="Segoe UI Emoji"/>
                <w:b/>
                <w:bCs/>
                <w:sz w:val="20"/>
                <w:szCs w:val="20"/>
              </w:rPr>
              <w:t>10</w:t>
            </w:r>
            <w:r w:rsidRPr="002660A2">
              <w:rPr>
                <w:rFonts w:ascii="Lato" w:hAnsi="Lato" w:cs="Segoe UI Emoji"/>
                <w:b/>
                <w:bCs/>
                <w:sz w:val="20"/>
                <w:szCs w:val="20"/>
              </w:rPr>
              <w:t xml:space="preserve"> marks</w:t>
            </w:r>
            <w:r>
              <w:rPr>
                <w:rFonts w:ascii="Lato" w:hAnsi="Lato" w:cs="Segoe UI Emoji"/>
                <w:b/>
                <w:bCs/>
                <w:sz w:val="20"/>
                <w:szCs w:val="20"/>
              </w:rPr>
              <w:t>.</w:t>
            </w:r>
          </w:p>
          <w:p w14:paraId="7D591382" w14:textId="77777777" w:rsidR="00A311C5" w:rsidRPr="002660A2" w:rsidRDefault="00A311C5" w:rsidP="00A311C5">
            <w:pPr>
              <w:pStyle w:val="ListParagraph"/>
              <w:numPr>
                <w:ilvl w:val="0"/>
                <w:numId w:val="2"/>
              </w:numPr>
              <w:jc w:val="both"/>
              <w:rPr>
                <w:rFonts w:ascii="Lato" w:hAnsi="Lato" w:cs="Segoe UI Emoji"/>
                <w:sz w:val="20"/>
                <w:szCs w:val="20"/>
              </w:rPr>
            </w:pPr>
            <w:r w:rsidRPr="002660A2">
              <w:rPr>
                <w:rFonts w:ascii="Lato" w:hAnsi="Lato" w:cs="Segoe UI Emoji"/>
                <w:sz w:val="20"/>
                <w:szCs w:val="20"/>
              </w:rPr>
              <w:t xml:space="preserve">Demonstrated experience working in the Somali/Somaliland education context </w:t>
            </w:r>
            <w:r>
              <w:rPr>
                <w:rFonts w:ascii="Lato" w:hAnsi="Lato" w:cs="Segoe UI Emoji"/>
                <w:sz w:val="20"/>
                <w:szCs w:val="20"/>
              </w:rPr>
              <w:t xml:space="preserve">- </w:t>
            </w:r>
            <w:r w:rsidRPr="002660A2">
              <w:rPr>
                <w:rFonts w:ascii="Lato" w:hAnsi="Lato" w:cs="Segoe UI Emoji"/>
                <w:b/>
                <w:bCs/>
                <w:sz w:val="20"/>
                <w:szCs w:val="20"/>
              </w:rPr>
              <w:t>5 marks</w:t>
            </w:r>
            <w:r>
              <w:rPr>
                <w:rFonts w:ascii="Lato" w:hAnsi="Lato" w:cs="Segoe UI Emoji"/>
                <w:b/>
                <w:bCs/>
                <w:sz w:val="20"/>
                <w:szCs w:val="20"/>
              </w:rPr>
              <w:t>.</w:t>
            </w:r>
          </w:p>
          <w:p w14:paraId="5D4E6D4B" w14:textId="77777777" w:rsidR="00A311C5" w:rsidRDefault="00A311C5" w:rsidP="00A311C5">
            <w:pPr>
              <w:pStyle w:val="ListParagraph"/>
              <w:numPr>
                <w:ilvl w:val="0"/>
                <w:numId w:val="2"/>
              </w:numPr>
              <w:jc w:val="both"/>
              <w:rPr>
                <w:rFonts w:ascii="Lato" w:hAnsi="Lato" w:cs="Segoe UI Emoji"/>
                <w:b/>
                <w:bCs/>
                <w:sz w:val="20"/>
                <w:szCs w:val="20"/>
              </w:rPr>
            </w:pPr>
            <w:r w:rsidRPr="002660A2">
              <w:rPr>
                <w:rFonts w:ascii="Lato" w:hAnsi="Lato" w:cs="Segoe UI Emoji"/>
                <w:sz w:val="20"/>
                <w:szCs w:val="20"/>
              </w:rPr>
              <w:t xml:space="preserve">Strong analytical, facilitation, and report writing skills </w:t>
            </w:r>
            <w:r>
              <w:rPr>
                <w:rFonts w:ascii="Lato" w:hAnsi="Lato" w:cs="Segoe UI Emoji"/>
                <w:sz w:val="20"/>
                <w:szCs w:val="20"/>
              </w:rPr>
              <w:t xml:space="preserve">- </w:t>
            </w:r>
            <w:r w:rsidRPr="002660A2">
              <w:rPr>
                <w:rFonts w:ascii="Lato" w:hAnsi="Lato" w:cs="Segoe UI Emoji"/>
                <w:b/>
                <w:bCs/>
                <w:sz w:val="20"/>
                <w:szCs w:val="20"/>
              </w:rPr>
              <w:t xml:space="preserve">3 marks </w:t>
            </w:r>
          </w:p>
          <w:p w14:paraId="5841B76A" w14:textId="24C3B4E2" w:rsidR="00A311C5" w:rsidRPr="009E7B7E" w:rsidRDefault="00A311C5" w:rsidP="00A311C5">
            <w:pPr>
              <w:spacing w:after="0" w:line="240" w:lineRule="auto"/>
              <w:jc w:val="both"/>
              <w:rPr>
                <w:rFonts w:ascii="Lato" w:hAnsi="Lato" w:cs="Arial"/>
                <w:sz w:val="20"/>
                <w:szCs w:val="20"/>
                <w:lang w:val="en-GB"/>
              </w:rPr>
            </w:pPr>
            <w:r w:rsidRPr="002660A2">
              <w:rPr>
                <w:rFonts w:ascii="Lato" w:hAnsi="Lato" w:cs="Segoe UI Emoji"/>
                <w:b/>
                <w:bCs/>
                <w:sz w:val="20"/>
                <w:szCs w:val="20"/>
              </w:rPr>
              <w:t>(Total of 2</w:t>
            </w:r>
            <w:r>
              <w:rPr>
                <w:rFonts w:ascii="Lato" w:hAnsi="Lato" w:cs="Segoe UI Emoji"/>
                <w:b/>
                <w:bCs/>
                <w:sz w:val="20"/>
                <w:szCs w:val="20"/>
              </w:rPr>
              <w:t>5</w:t>
            </w:r>
            <w:r w:rsidRPr="002660A2">
              <w:rPr>
                <w:rFonts w:ascii="Lato" w:hAnsi="Lato" w:cs="Segoe UI Emoji"/>
                <w:b/>
                <w:bCs/>
                <w:sz w:val="20"/>
                <w:szCs w:val="20"/>
              </w:rPr>
              <w:t>marks)</w:t>
            </w:r>
          </w:p>
        </w:tc>
        <w:tc>
          <w:tcPr>
            <w:tcW w:w="3053" w:type="dxa"/>
            <w:vAlign w:val="center"/>
          </w:tcPr>
          <w:p w14:paraId="6C2639BE" w14:textId="64D74074" w:rsidR="00A311C5" w:rsidRPr="002660A2" w:rsidRDefault="00A311C5" w:rsidP="00A311C5">
            <w:pPr>
              <w:spacing w:after="0" w:line="240" w:lineRule="auto"/>
              <w:jc w:val="center"/>
              <w:rPr>
                <w:rFonts w:ascii="Lato" w:hAnsi="Lato" w:cs="Arial"/>
                <w:b/>
                <w:color w:val="000000" w:themeColor="text1"/>
                <w:sz w:val="20"/>
                <w:szCs w:val="20"/>
              </w:rPr>
            </w:pPr>
            <w:r w:rsidRPr="002660A2">
              <w:rPr>
                <w:rFonts w:ascii="Lato" w:hAnsi="Lato" w:cs="Arial"/>
                <w:b/>
                <w:color w:val="000000" w:themeColor="text1"/>
                <w:sz w:val="20"/>
                <w:szCs w:val="20"/>
              </w:rPr>
              <w:t>2</w:t>
            </w:r>
            <w:r>
              <w:rPr>
                <w:rFonts w:ascii="Lato" w:hAnsi="Lato" w:cs="Arial"/>
                <w:b/>
                <w:color w:val="000000" w:themeColor="text1"/>
                <w:sz w:val="20"/>
                <w:szCs w:val="20"/>
              </w:rPr>
              <w:t>5</w:t>
            </w:r>
            <w:r w:rsidRPr="002660A2">
              <w:rPr>
                <w:rFonts w:ascii="Lato" w:hAnsi="Lato" w:cs="Arial"/>
                <w:b/>
                <w:color w:val="000000" w:themeColor="text1"/>
                <w:sz w:val="20"/>
                <w:szCs w:val="20"/>
              </w:rPr>
              <w:t xml:space="preserve"> marks</w:t>
            </w:r>
          </w:p>
        </w:tc>
      </w:tr>
      <w:tr w:rsidR="00A311C5" w:rsidRPr="007D0AE3" w14:paraId="3C36FD5D" w14:textId="77777777" w:rsidTr="006403BD">
        <w:trPr>
          <w:trHeight w:hRule="exact" w:val="1345"/>
        </w:trPr>
        <w:tc>
          <w:tcPr>
            <w:tcW w:w="540" w:type="dxa"/>
            <w:shd w:val="clear" w:color="auto" w:fill="F2F2F2"/>
          </w:tcPr>
          <w:p w14:paraId="46CF3F70" w14:textId="2E4C2D84" w:rsidR="00A311C5" w:rsidRPr="007D0AE3" w:rsidRDefault="00C436EF" w:rsidP="00A311C5">
            <w:pPr>
              <w:spacing w:line="240" w:lineRule="auto"/>
              <w:jc w:val="center"/>
              <w:rPr>
                <w:rFonts w:ascii="Lato" w:hAnsi="Lato" w:cs="Arial"/>
                <w:sz w:val="20"/>
                <w:szCs w:val="20"/>
              </w:rPr>
            </w:pPr>
            <w:r>
              <w:rPr>
                <w:rFonts w:ascii="Lato" w:hAnsi="Lato" w:cs="Arial"/>
                <w:sz w:val="20"/>
                <w:szCs w:val="20"/>
              </w:rPr>
              <w:t>7</w:t>
            </w:r>
          </w:p>
        </w:tc>
        <w:tc>
          <w:tcPr>
            <w:tcW w:w="6842" w:type="dxa"/>
            <w:gridSpan w:val="3"/>
            <w:shd w:val="clear" w:color="auto" w:fill="F2F2F2"/>
          </w:tcPr>
          <w:p w14:paraId="65F988DD" w14:textId="7ECF4D74" w:rsidR="00A311C5" w:rsidRPr="007D0AE3" w:rsidRDefault="00A311C5" w:rsidP="00A311C5">
            <w:pPr>
              <w:pStyle w:val="ListParagraph"/>
              <w:numPr>
                <w:ilvl w:val="0"/>
                <w:numId w:val="3"/>
              </w:numPr>
              <w:rPr>
                <w:rFonts w:ascii="Lato" w:eastAsia="Times New Roman" w:hAnsi="Lato"/>
                <w:sz w:val="20"/>
                <w:szCs w:val="20"/>
              </w:rPr>
            </w:pPr>
            <w:r w:rsidRPr="007D0AE3">
              <w:rPr>
                <w:rFonts w:ascii="Lato" w:eastAsia="Times New Roman" w:hAnsi="Lato"/>
                <w:sz w:val="20"/>
                <w:szCs w:val="20"/>
              </w:rPr>
              <w:t xml:space="preserve">Submission of at least one </w:t>
            </w:r>
            <w:r>
              <w:rPr>
                <w:rFonts w:ascii="Lato" w:eastAsia="Times New Roman" w:hAnsi="Lato"/>
                <w:sz w:val="20"/>
                <w:szCs w:val="20"/>
              </w:rPr>
              <w:t xml:space="preserve">ESA report </w:t>
            </w:r>
            <w:r w:rsidRPr="007D0AE3">
              <w:rPr>
                <w:rFonts w:ascii="Lato" w:eastAsia="Times New Roman" w:hAnsi="Lato"/>
                <w:sz w:val="20"/>
                <w:szCs w:val="20"/>
              </w:rPr>
              <w:t xml:space="preserve">authored or co-authored by the consultant within the last 10 years, ideally in Somalia/Somaliland contexts. </w:t>
            </w:r>
            <w:r w:rsidRPr="006C11BF">
              <w:rPr>
                <w:rFonts w:ascii="Lato" w:eastAsia="Times New Roman" w:hAnsi="Lato"/>
                <w:b/>
                <w:bCs/>
                <w:sz w:val="20"/>
                <w:szCs w:val="20"/>
              </w:rPr>
              <w:t>10 Marks</w:t>
            </w:r>
          </w:p>
          <w:p w14:paraId="40EF4CF0" w14:textId="5DB120CB" w:rsidR="00A311C5" w:rsidRPr="007D0AE3" w:rsidRDefault="00A311C5" w:rsidP="00A311C5">
            <w:pPr>
              <w:pStyle w:val="ListParagraph"/>
              <w:numPr>
                <w:ilvl w:val="0"/>
                <w:numId w:val="3"/>
              </w:numPr>
              <w:rPr>
                <w:rFonts w:eastAsia="Times New Roman"/>
                <w:b/>
                <w:bCs/>
                <w:sz w:val="20"/>
                <w:szCs w:val="20"/>
              </w:rPr>
            </w:pPr>
            <w:r w:rsidRPr="007D0AE3">
              <w:rPr>
                <w:rFonts w:ascii="Lato" w:eastAsia="Times New Roman" w:hAnsi="Lato"/>
                <w:sz w:val="20"/>
                <w:szCs w:val="20"/>
              </w:rPr>
              <w:t xml:space="preserve">Submission of at least one </w:t>
            </w:r>
            <w:r>
              <w:rPr>
                <w:rFonts w:ascii="Lato" w:eastAsia="Times New Roman" w:hAnsi="Lato"/>
                <w:sz w:val="20"/>
                <w:szCs w:val="20"/>
              </w:rPr>
              <w:t>ESSP led by the consultant in the last 10 years.</w:t>
            </w:r>
            <w:r w:rsidRPr="007D0AE3">
              <w:rPr>
                <w:rFonts w:ascii="Lato" w:eastAsia="Times New Roman" w:hAnsi="Lato"/>
                <w:sz w:val="20"/>
                <w:szCs w:val="20"/>
              </w:rPr>
              <w:t xml:space="preserve"> </w:t>
            </w:r>
            <w:r w:rsidRPr="006C11BF">
              <w:rPr>
                <w:rFonts w:ascii="Lato" w:eastAsia="Times New Roman" w:hAnsi="Lato"/>
                <w:b/>
                <w:bCs/>
                <w:sz w:val="20"/>
                <w:szCs w:val="20"/>
              </w:rPr>
              <w:t>10 Marks</w:t>
            </w:r>
          </w:p>
          <w:p w14:paraId="17414689" w14:textId="77777777" w:rsidR="00A311C5" w:rsidRPr="007D0AE3" w:rsidRDefault="00A311C5" w:rsidP="00A311C5">
            <w:pPr>
              <w:jc w:val="both"/>
              <w:rPr>
                <w:rFonts w:eastAsia="Times New Roman"/>
                <w:b/>
                <w:bCs/>
                <w:sz w:val="20"/>
                <w:szCs w:val="20"/>
              </w:rPr>
            </w:pPr>
          </w:p>
          <w:p w14:paraId="12993EE6" w14:textId="77777777" w:rsidR="00A311C5" w:rsidRPr="007D0AE3" w:rsidRDefault="00A311C5" w:rsidP="00A311C5">
            <w:pPr>
              <w:jc w:val="both"/>
              <w:rPr>
                <w:rFonts w:eastAsia="Times New Roman"/>
                <w:b/>
                <w:bCs/>
                <w:sz w:val="20"/>
                <w:szCs w:val="20"/>
              </w:rPr>
            </w:pPr>
          </w:p>
          <w:p w14:paraId="7976BF6A" w14:textId="77777777" w:rsidR="00A311C5" w:rsidRPr="007D0AE3" w:rsidRDefault="00A311C5" w:rsidP="00A311C5">
            <w:pPr>
              <w:jc w:val="both"/>
              <w:rPr>
                <w:rFonts w:eastAsia="Times New Roman"/>
                <w:b/>
                <w:bCs/>
                <w:sz w:val="20"/>
                <w:szCs w:val="20"/>
              </w:rPr>
            </w:pPr>
          </w:p>
          <w:p w14:paraId="45776B36" w14:textId="77777777" w:rsidR="00A311C5" w:rsidRPr="007D0AE3" w:rsidRDefault="00A311C5" w:rsidP="00A311C5">
            <w:pPr>
              <w:jc w:val="both"/>
              <w:rPr>
                <w:rFonts w:eastAsia="Times New Roman"/>
                <w:b/>
                <w:bCs/>
                <w:sz w:val="20"/>
                <w:szCs w:val="20"/>
              </w:rPr>
            </w:pPr>
          </w:p>
          <w:p w14:paraId="16369635" w14:textId="77777777" w:rsidR="00A311C5" w:rsidRPr="007D0AE3" w:rsidRDefault="00A311C5" w:rsidP="00A311C5">
            <w:pPr>
              <w:jc w:val="both"/>
              <w:rPr>
                <w:rFonts w:eastAsia="Times New Roman"/>
                <w:b/>
                <w:bCs/>
                <w:sz w:val="20"/>
                <w:szCs w:val="20"/>
              </w:rPr>
            </w:pPr>
          </w:p>
          <w:p w14:paraId="297A9308" w14:textId="77777777" w:rsidR="00A311C5" w:rsidRPr="007D0AE3" w:rsidRDefault="00A311C5" w:rsidP="00A311C5">
            <w:pPr>
              <w:jc w:val="both"/>
              <w:rPr>
                <w:rFonts w:eastAsia="Times New Roman"/>
                <w:b/>
                <w:bCs/>
                <w:sz w:val="20"/>
                <w:szCs w:val="20"/>
              </w:rPr>
            </w:pPr>
          </w:p>
          <w:p w14:paraId="3D0A8F06" w14:textId="77777777" w:rsidR="00A311C5" w:rsidRPr="007D0AE3" w:rsidRDefault="00A311C5" w:rsidP="00A311C5">
            <w:pPr>
              <w:jc w:val="both"/>
              <w:rPr>
                <w:rFonts w:eastAsia="Times New Roman"/>
                <w:b/>
                <w:bCs/>
                <w:sz w:val="20"/>
                <w:szCs w:val="20"/>
              </w:rPr>
            </w:pPr>
          </w:p>
          <w:p w14:paraId="615B9027" w14:textId="77777777" w:rsidR="00A311C5" w:rsidRPr="007D0AE3" w:rsidRDefault="00A311C5" w:rsidP="00A311C5">
            <w:pPr>
              <w:jc w:val="both"/>
              <w:rPr>
                <w:rFonts w:eastAsia="Times New Roman"/>
                <w:b/>
                <w:bCs/>
                <w:sz w:val="20"/>
                <w:szCs w:val="20"/>
              </w:rPr>
            </w:pPr>
          </w:p>
          <w:p w14:paraId="352F4D98" w14:textId="77777777" w:rsidR="00A311C5" w:rsidRPr="007D0AE3" w:rsidRDefault="00A311C5" w:rsidP="00A311C5">
            <w:pPr>
              <w:jc w:val="both"/>
              <w:rPr>
                <w:rFonts w:eastAsia="Times New Roman"/>
                <w:b/>
                <w:bCs/>
                <w:sz w:val="20"/>
                <w:szCs w:val="20"/>
              </w:rPr>
            </w:pPr>
          </w:p>
          <w:p w14:paraId="17C195A4" w14:textId="2BAB9779" w:rsidR="00A311C5" w:rsidRPr="007D0AE3" w:rsidRDefault="00A311C5" w:rsidP="00A311C5">
            <w:pPr>
              <w:jc w:val="both"/>
              <w:rPr>
                <w:b/>
                <w:bCs/>
                <w:sz w:val="20"/>
                <w:szCs w:val="20"/>
              </w:rPr>
            </w:pPr>
          </w:p>
        </w:tc>
        <w:tc>
          <w:tcPr>
            <w:tcW w:w="3053" w:type="dxa"/>
            <w:vAlign w:val="center"/>
          </w:tcPr>
          <w:p w14:paraId="789661E8" w14:textId="420F6763" w:rsidR="00A311C5" w:rsidRPr="007D0AE3" w:rsidRDefault="00A311C5" w:rsidP="00A311C5">
            <w:pPr>
              <w:spacing w:line="240" w:lineRule="auto"/>
              <w:jc w:val="center"/>
              <w:rPr>
                <w:rFonts w:ascii="Lato" w:hAnsi="Lato" w:cs="Arial"/>
                <w:b/>
                <w:sz w:val="20"/>
                <w:szCs w:val="20"/>
              </w:rPr>
            </w:pPr>
            <w:r w:rsidRPr="007D0AE3">
              <w:rPr>
                <w:rFonts w:ascii="Lato" w:hAnsi="Lato" w:cs="Arial"/>
                <w:b/>
                <w:sz w:val="20"/>
                <w:szCs w:val="20"/>
              </w:rPr>
              <w:t>20 Marks</w:t>
            </w:r>
          </w:p>
        </w:tc>
      </w:tr>
      <w:tr w:rsidR="00A311C5" w:rsidRPr="007D0AE3" w14:paraId="4234890A" w14:textId="77777777" w:rsidTr="006403BD">
        <w:trPr>
          <w:trHeight w:hRule="exact" w:val="360"/>
        </w:trPr>
        <w:tc>
          <w:tcPr>
            <w:tcW w:w="540" w:type="dxa"/>
            <w:shd w:val="clear" w:color="auto" w:fill="F2F2F2"/>
          </w:tcPr>
          <w:p w14:paraId="4634E6EA" w14:textId="77777777" w:rsidR="00A311C5" w:rsidRPr="007D0AE3" w:rsidRDefault="00A311C5" w:rsidP="00A311C5">
            <w:pPr>
              <w:spacing w:after="0" w:line="240" w:lineRule="auto"/>
              <w:rPr>
                <w:rFonts w:ascii="Lato" w:hAnsi="Lato" w:cs="Arial"/>
                <w:b/>
                <w:color w:val="000000" w:themeColor="text1"/>
                <w:sz w:val="20"/>
                <w:szCs w:val="20"/>
              </w:rPr>
            </w:pPr>
          </w:p>
        </w:tc>
        <w:tc>
          <w:tcPr>
            <w:tcW w:w="6842" w:type="dxa"/>
            <w:gridSpan w:val="3"/>
            <w:shd w:val="clear" w:color="auto" w:fill="F2F2F2"/>
          </w:tcPr>
          <w:p w14:paraId="768B7CAB" w14:textId="60ECCC03" w:rsidR="00A311C5" w:rsidRPr="007D0AE3" w:rsidRDefault="00A311C5" w:rsidP="00A311C5">
            <w:pPr>
              <w:spacing w:after="0" w:line="240" w:lineRule="auto"/>
              <w:rPr>
                <w:rFonts w:ascii="Lato" w:hAnsi="Lato" w:cs="Arial"/>
                <w:b/>
                <w:color w:val="000000" w:themeColor="text1"/>
                <w:sz w:val="20"/>
                <w:szCs w:val="20"/>
              </w:rPr>
            </w:pPr>
            <w:r w:rsidRPr="007D0AE3">
              <w:rPr>
                <w:rFonts w:ascii="Lato" w:hAnsi="Lato" w:cs="Arial"/>
                <w:b/>
                <w:color w:val="000000" w:themeColor="text1"/>
                <w:sz w:val="20"/>
                <w:szCs w:val="20"/>
              </w:rPr>
              <w:t>Sustainability Criteria</w:t>
            </w:r>
          </w:p>
        </w:tc>
        <w:tc>
          <w:tcPr>
            <w:tcW w:w="3053" w:type="dxa"/>
            <w:vAlign w:val="center"/>
          </w:tcPr>
          <w:p w14:paraId="603A935F" w14:textId="77777777" w:rsidR="00A311C5" w:rsidRPr="007D0AE3" w:rsidRDefault="00A311C5" w:rsidP="00A311C5">
            <w:pPr>
              <w:spacing w:after="0" w:line="240" w:lineRule="auto"/>
              <w:rPr>
                <w:rFonts w:ascii="Lato" w:hAnsi="Lato" w:cs="Arial"/>
                <w:b/>
                <w:color w:val="000000" w:themeColor="text1"/>
                <w:sz w:val="20"/>
                <w:szCs w:val="20"/>
              </w:rPr>
            </w:pPr>
          </w:p>
        </w:tc>
      </w:tr>
      <w:tr w:rsidR="00A311C5" w:rsidRPr="007D0AE3" w14:paraId="49701D0B" w14:textId="77777777" w:rsidTr="006403BD">
        <w:trPr>
          <w:trHeight w:hRule="exact" w:val="904"/>
        </w:trPr>
        <w:tc>
          <w:tcPr>
            <w:tcW w:w="540" w:type="dxa"/>
            <w:shd w:val="clear" w:color="auto" w:fill="F2F2F2"/>
          </w:tcPr>
          <w:p w14:paraId="6C84A80D" w14:textId="77777777" w:rsidR="00A311C5" w:rsidRPr="007D0AE3" w:rsidRDefault="00A311C5" w:rsidP="00A311C5">
            <w:pPr>
              <w:spacing w:line="240" w:lineRule="auto"/>
              <w:jc w:val="center"/>
              <w:rPr>
                <w:rFonts w:ascii="Lato" w:hAnsi="Lato" w:cs="Arial"/>
                <w:sz w:val="20"/>
                <w:szCs w:val="20"/>
              </w:rPr>
            </w:pPr>
          </w:p>
        </w:tc>
        <w:tc>
          <w:tcPr>
            <w:tcW w:w="6842" w:type="dxa"/>
            <w:gridSpan w:val="3"/>
            <w:shd w:val="clear" w:color="auto" w:fill="F2F2F2"/>
          </w:tcPr>
          <w:p w14:paraId="382FF5FB" w14:textId="0354EC84" w:rsidR="00A311C5" w:rsidRPr="007D0AE3" w:rsidRDefault="00A311C5" w:rsidP="00A311C5">
            <w:pPr>
              <w:rPr>
                <w:rFonts w:ascii="Lato" w:eastAsia="Times New Roman" w:hAnsi="Lato"/>
                <w:sz w:val="20"/>
                <w:szCs w:val="20"/>
              </w:rPr>
            </w:pPr>
            <w:r w:rsidRPr="007D0AE3">
              <w:rPr>
                <w:rFonts w:ascii="Lato" w:eastAsia="Times New Roman" w:hAnsi="Lato"/>
                <w:sz w:val="20"/>
                <w:szCs w:val="20"/>
              </w:rPr>
              <w:t xml:space="preserve">All bidders are required to submit a brief Sustainability policy outlining their commitment to ethical, inclusive, and socially responsible practices throughout the execution of this assignment. </w:t>
            </w:r>
          </w:p>
        </w:tc>
        <w:tc>
          <w:tcPr>
            <w:tcW w:w="3053" w:type="dxa"/>
            <w:vAlign w:val="center"/>
          </w:tcPr>
          <w:p w14:paraId="22FC7062" w14:textId="5BC49282" w:rsidR="00A311C5" w:rsidRPr="007D0AE3" w:rsidRDefault="00A311C5" w:rsidP="00A311C5">
            <w:pPr>
              <w:spacing w:line="240" w:lineRule="auto"/>
              <w:jc w:val="center"/>
              <w:rPr>
                <w:rFonts w:ascii="Lato" w:hAnsi="Lato" w:cs="Arial"/>
                <w:b/>
                <w:sz w:val="20"/>
                <w:szCs w:val="20"/>
              </w:rPr>
            </w:pPr>
            <w:r w:rsidRPr="007D0AE3">
              <w:rPr>
                <w:rFonts w:ascii="Lato" w:hAnsi="Lato" w:cs="Arial"/>
                <w:b/>
                <w:sz w:val="20"/>
                <w:szCs w:val="20"/>
              </w:rPr>
              <w:t>10 Marks</w:t>
            </w:r>
          </w:p>
        </w:tc>
      </w:tr>
      <w:tr w:rsidR="00A311C5" w:rsidRPr="007D0AE3" w14:paraId="2FB389E6" w14:textId="77777777" w:rsidTr="006403BD">
        <w:trPr>
          <w:trHeight w:hRule="exact" w:val="362"/>
        </w:trPr>
        <w:tc>
          <w:tcPr>
            <w:tcW w:w="540" w:type="dxa"/>
            <w:shd w:val="clear" w:color="auto" w:fill="F2F2F2"/>
          </w:tcPr>
          <w:p w14:paraId="439FEA55" w14:textId="77777777" w:rsidR="00A311C5" w:rsidRPr="007D0AE3" w:rsidRDefault="00A311C5" w:rsidP="00A311C5">
            <w:pPr>
              <w:spacing w:line="240" w:lineRule="auto"/>
              <w:jc w:val="center"/>
              <w:rPr>
                <w:rFonts w:ascii="Lato" w:hAnsi="Lato" w:cs="Arial"/>
                <w:color w:val="000000" w:themeColor="text1"/>
                <w:sz w:val="20"/>
                <w:szCs w:val="20"/>
              </w:rPr>
            </w:pPr>
          </w:p>
        </w:tc>
        <w:tc>
          <w:tcPr>
            <w:tcW w:w="9895" w:type="dxa"/>
            <w:gridSpan w:val="4"/>
            <w:shd w:val="clear" w:color="auto" w:fill="F2F2F2"/>
          </w:tcPr>
          <w:p w14:paraId="7BEC34D3" w14:textId="09A23376" w:rsidR="00A311C5" w:rsidRPr="007D0AE3" w:rsidRDefault="00A311C5" w:rsidP="00A311C5">
            <w:pPr>
              <w:spacing w:after="0" w:line="240" w:lineRule="auto"/>
              <w:rPr>
                <w:rFonts w:ascii="Lato" w:hAnsi="Lato" w:cs="Arial"/>
                <w:b/>
                <w:color w:val="000000" w:themeColor="text1"/>
                <w:sz w:val="20"/>
                <w:szCs w:val="20"/>
              </w:rPr>
            </w:pPr>
            <w:r w:rsidRPr="007D0AE3">
              <w:rPr>
                <w:rFonts w:ascii="Lato" w:hAnsi="Lato" w:cs="Arial"/>
                <w:b/>
                <w:color w:val="000000" w:themeColor="text1"/>
                <w:sz w:val="20"/>
                <w:szCs w:val="20"/>
              </w:rPr>
              <w:t>Commercial Criteria (Financial Proposal Requirements):</w:t>
            </w:r>
          </w:p>
        </w:tc>
      </w:tr>
      <w:tr w:rsidR="00A311C5" w:rsidRPr="002660A2" w14:paraId="58411E40" w14:textId="4B3BE2AD" w:rsidTr="006403BD">
        <w:trPr>
          <w:trHeight w:hRule="exact" w:val="2983"/>
        </w:trPr>
        <w:tc>
          <w:tcPr>
            <w:tcW w:w="540" w:type="dxa"/>
            <w:shd w:val="clear" w:color="auto" w:fill="F2F2F2"/>
          </w:tcPr>
          <w:p w14:paraId="1C3074F8" w14:textId="78026EC5" w:rsidR="00A311C5" w:rsidRPr="007D0AE3" w:rsidRDefault="00C436EF" w:rsidP="00A311C5">
            <w:pPr>
              <w:spacing w:line="240" w:lineRule="auto"/>
              <w:jc w:val="center"/>
              <w:rPr>
                <w:rFonts w:ascii="Lato" w:hAnsi="Lato" w:cs="Arial"/>
                <w:color w:val="000000" w:themeColor="text1"/>
                <w:sz w:val="20"/>
                <w:szCs w:val="20"/>
              </w:rPr>
            </w:pPr>
            <w:r>
              <w:rPr>
                <w:rFonts w:ascii="Lato" w:hAnsi="Lato" w:cs="Arial"/>
                <w:color w:val="000000" w:themeColor="text1"/>
                <w:sz w:val="20"/>
                <w:szCs w:val="20"/>
              </w:rPr>
              <w:t>8</w:t>
            </w:r>
          </w:p>
        </w:tc>
        <w:tc>
          <w:tcPr>
            <w:tcW w:w="6842" w:type="dxa"/>
            <w:gridSpan w:val="3"/>
            <w:shd w:val="clear" w:color="auto" w:fill="F2F2F2"/>
          </w:tcPr>
          <w:p w14:paraId="6D7A8219" w14:textId="58011929" w:rsidR="00A311C5" w:rsidRPr="002127BE" w:rsidRDefault="00A311C5" w:rsidP="00A311C5">
            <w:pPr>
              <w:rPr>
                <w:rFonts w:ascii="Lato" w:hAnsi="Lato" w:cs="Arial"/>
                <w:bCs/>
                <w:color w:val="000000" w:themeColor="text1"/>
                <w:sz w:val="20"/>
                <w:szCs w:val="20"/>
              </w:rPr>
            </w:pPr>
            <w:r w:rsidRPr="002127BE">
              <w:rPr>
                <w:rFonts w:ascii="Lato" w:hAnsi="Lato" w:cs="Arial"/>
                <w:b/>
                <w:bCs/>
                <w:color w:val="000000" w:themeColor="text1"/>
                <w:sz w:val="20"/>
                <w:szCs w:val="20"/>
              </w:rPr>
              <w:t xml:space="preserve">Bidders must submit </w:t>
            </w:r>
            <w:r>
              <w:rPr>
                <w:rFonts w:ascii="Lato" w:hAnsi="Lato" w:cs="Arial"/>
                <w:b/>
                <w:bCs/>
                <w:color w:val="000000" w:themeColor="text1"/>
                <w:sz w:val="20"/>
                <w:szCs w:val="20"/>
              </w:rPr>
              <w:t>a</w:t>
            </w:r>
            <w:r w:rsidRPr="002127BE">
              <w:rPr>
                <w:rFonts w:ascii="Lato" w:hAnsi="Lato" w:cs="Arial"/>
                <w:b/>
                <w:bCs/>
                <w:color w:val="000000" w:themeColor="text1"/>
                <w:sz w:val="20"/>
                <w:szCs w:val="20"/>
              </w:rPr>
              <w:t xml:space="preserve"> detailed financial proposal</w:t>
            </w:r>
            <w:r w:rsidRPr="002127BE">
              <w:rPr>
                <w:rFonts w:ascii="Lato" w:hAnsi="Lato" w:cs="Arial"/>
                <w:bCs/>
                <w:color w:val="000000" w:themeColor="text1"/>
                <w:sz w:val="20"/>
                <w:szCs w:val="20"/>
              </w:rPr>
              <w:t>:</w:t>
            </w:r>
          </w:p>
          <w:p w14:paraId="1F148832" w14:textId="1F9C4107" w:rsidR="00A311C5" w:rsidRPr="002127BE" w:rsidRDefault="00A311C5" w:rsidP="00A311C5">
            <w:pPr>
              <w:rPr>
                <w:rFonts w:ascii="Lato" w:hAnsi="Lato" w:cs="Arial"/>
                <w:bCs/>
                <w:color w:val="000000" w:themeColor="text1"/>
                <w:sz w:val="20"/>
                <w:szCs w:val="20"/>
              </w:rPr>
            </w:pPr>
            <w:r>
              <w:rPr>
                <w:rFonts w:ascii="Lato" w:hAnsi="Lato" w:cs="Arial"/>
                <w:bCs/>
                <w:color w:val="000000" w:themeColor="text1"/>
                <w:sz w:val="20"/>
                <w:szCs w:val="20"/>
              </w:rPr>
              <w:t xml:space="preserve">The </w:t>
            </w:r>
            <w:r w:rsidRPr="002127BE">
              <w:rPr>
                <w:rFonts w:ascii="Lato" w:hAnsi="Lato" w:cs="Arial"/>
                <w:bCs/>
                <w:color w:val="000000" w:themeColor="text1"/>
                <w:sz w:val="20"/>
                <w:szCs w:val="20"/>
              </w:rPr>
              <w:t>financial proposal must be itemized and clearly outline all anticipated costs related to the respective assignment. This should include consultancy fees, accommodation, local transportation, communication, stationery, data collectors, research assistants, and any other associated expenses. All costs must be comprehensive, transparent, and inclusive of applicable taxes and statutory obligations.</w:t>
            </w:r>
          </w:p>
          <w:p w14:paraId="0A040BB0" w14:textId="571C654E" w:rsidR="00A311C5" w:rsidRPr="007D0AE3" w:rsidRDefault="00A311C5" w:rsidP="00A311C5">
            <w:pPr>
              <w:spacing w:after="0" w:line="240" w:lineRule="auto"/>
              <w:jc w:val="both"/>
              <w:rPr>
                <w:rFonts w:ascii="Lato" w:hAnsi="Lato" w:cs="Arial"/>
                <w:bCs/>
                <w:color w:val="000000" w:themeColor="text1"/>
                <w:sz w:val="20"/>
                <w:szCs w:val="20"/>
              </w:rPr>
            </w:pPr>
            <w:r w:rsidRPr="002127BE">
              <w:rPr>
                <w:rFonts w:ascii="Lato" w:hAnsi="Lato" w:cs="Arial"/>
                <w:b/>
                <w:bCs/>
                <w:color w:val="000000" w:themeColor="text1"/>
                <w:sz w:val="20"/>
                <w:szCs w:val="20"/>
              </w:rPr>
              <w:t>Note:</w:t>
            </w:r>
            <w:r w:rsidRPr="002127BE">
              <w:rPr>
                <w:rFonts w:ascii="Lato" w:hAnsi="Lato" w:cs="Arial"/>
                <w:bCs/>
                <w:color w:val="000000" w:themeColor="text1"/>
                <w:sz w:val="20"/>
                <w:szCs w:val="20"/>
              </w:rPr>
              <w:t xml:space="preserve"> No additional costs beyond what is included in the submitted financial proposals will be accepted.</w:t>
            </w:r>
          </w:p>
        </w:tc>
        <w:tc>
          <w:tcPr>
            <w:tcW w:w="3053" w:type="dxa"/>
            <w:shd w:val="clear" w:color="auto" w:fill="F2F2F2"/>
          </w:tcPr>
          <w:p w14:paraId="5373E52E" w14:textId="0B26A477" w:rsidR="00A311C5" w:rsidRPr="002660A2" w:rsidRDefault="00A311C5" w:rsidP="00A311C5">
            <w:pPr>
              <w:spacing w:after="0" w:line="240" w:lineRule="auto"/>
              <w:jc w:val="center"/>
              <w:rPr>
                <w:rFonts w:ascii="Lato" w:hAnsi="Lato" w:cs="Arial"/>
                <w:b/>
                <w:color w:val="000000" w:themeColor="text1"/>
                <w:sz w:val="20"/>
                <w:szCs w:val="20"/>
              </w:rPr>
            </w:pPr>
            <w:r w:rsidRPr="007D0AE3">
              <w:rPr>
                <w:rFonts w:ascii="Lato" w:hAnsi="Lato" w:cs="Arial"/>
                <w:b/>
                <w:color w:val="000000" w:themeColor="text1"/>
                <w:sz w:val="20"/>
                <w:szCs w:val="20"/>
              </w:rPr>
              <w:t>20 Marks</w:t>
            </w:r>
          </w:p>
        </w:tc>
      </w:tr>
      <w:tr w:rsidR="00A311C5" w:rsidRPr="002660A2" w14:paraId="3A795FCC" w14:textId="77777777" w:rsidTr="006403BD">
        <w:trPr>
          <w:trHeight w:hRule="exact" w:val="353"/>
        </w:trPr>
        <w:tc>
          <w:tcPr>
            <w:tcW w:w="540" w:type="dxa"/>
            <w:shd w:val="clear" w:color="auto" w:fill="F2F2F2"/>
          </w:tcPr>
          <w:p w14:paraId="5C79E37A" w14:textId="77777777" w:rsidR="00A311C5" w:rsidRPr="002660A2" w:rsidRDefault="00A311C5" w:rsidP="00A311C5">
            <w:pPr>
              <w:spacing w:line="240" w:lineRule="auto"/>
              <w:rPr>
                <w:rFonts w:ascii="Lato" w:hAnsi="Lato" w:cs="Arial"/>
                <w:color w:val="000000" w:themeColor="text1"/>
                <w:sz w:val="20"/>
                <w:szCs w:val="20"/>
              </w:rPr>
            </w:pPr>
          </w:p>
        </w:tc>
        <w:tc>
          <w:tcPr>
            <w:tcW w:w="6842" w:type="dxa"/>
            <w:gridSpan w:val="3"/>
            <w:shd w:val="clear" w:color="auto" w:fill="BFBFBF" w:themeFill="background1" w:themeFillShade="BF"/>
          </w:tcPr>
          <w:p w14:paraId="0FD96A7B" w14:textId="77777777" w:rsidR="00A311C5" w:rsidRPr="002660A2" w:rsidRDefault="00A311C5" w:rsidP="00A311C5">
            <w:pPr>
              <w:spacing w:line="240" w:lineRule="auto"/>
              <w:rPr>
                <w:rFonts w:ascii="Lato" w:hAnsi="Lato" w:cs="Arial"/>
                <w:bCs/>
                <w:color w:val="000000" w:themeColor="text1"/>
                <w:sz w:val="20"/>
                <w:szCs w:val="20"/>
              </w:rPr>
            </w:pPr>
            <w:r w:rsidRPr="002660A2">
              <w:rPr>
                <w:rFonts w:ascii="Lato" w:hAnsi="Lato" w:cs="Arial"/>
                <w:bCs/>
                <w:color w:val="000000" w:themeColor="text1"/>
                <w:sz w:val="20"/>
                <w:szCs w:val="20"/>
              </w:rPr>
              <w:t xml:space="preserve">Total </w:t>
            </w:r>
          </w:p>
          <w:p w14:paraId="4B18AE97" w14:textId="549796E6" w:rsidR="00A311C5" w:rsidRPr="002660A2" w:rsidRDefault="00A311C5" w:rsidP="00A311C5">
            <w:pPr>
              <w:spacing w:line="240" w:lineRule="auto"/>
              <w:rPr>
                <w:rFonts w:ascii="Lato" w:hAnsi="Lato" w:cs="Arial"/>
                <w:bCs/>
                <w:color w:val="000000" w:themeColor="text1"/>
                <w:sz w:val="20"/>
                <w:szCs w:val="20"/>
              </w:rPr>
            </w:pPr>
          </w:p>
        </w:tc>
        <w:tc>
          <w:tcPr>
            <w:tcW w:w="3053" w:type="dxa"/>
            <w:shd w:val="clear" w:color="auto" w:fill="BFBFBF" w:themeFill="background1" w:themeFillShade="BF"/>
          </w:tcPr>
          <w:p w14:paraId="0CEEA695" w14:textId="4837A3EA" w:rsidR="00A311C5" w:rsidRPr="002660A2" w:rsidRDefault="00A311C5" w:rsidP="00A311C5">
            <w:pPr>
              <w:spacing w:line="240" w:lineRule="auto"/>
              <w:jc w:val="center"/>
              <w:rPr>
                <w:rFonts w:ascii="Lato" w:hAnsi="Lato" w:cs="Arial"/>
                <w:b/>
                <w:color w:val="000000" w:themeColor="text1"/>
                <w:sz w:val="20"/>
                <w:szCs w:val="20"/>
              </w:rPr>
            </w:pPr>
            <w:r w:rsidRPr="002660A2">
              <w:rPr>
                <w:rFonts w:ascii="Lato" w:hAnsi="Lato" w:cs="Arial"/>
                <w:b/>
                <w:color w:val="000000" w:themeColor="text1"/>
                <w:sz w:val="20"/>
                <w:szCs w:val="20"/>
              </w:rPr>
              <w:t>100 marks</w:t>
            </w:r>
          </w:p>
        </w:tc>
      </w:tr>
      <w:tr w:rsidR="00A311C5" w:rsidRPr="002660A2" w14:paraId="6A450758" w14:textId="77777777" w:rsidTr="006403BD">
        <w:trPr>
          <w:trHeight w:hRule="exact" w:val="634"/>
        </w:trPr>
        <w:tc>
          <w:tcPr>
            <w:tcW w:w="10435" w:type="dxa"/>
            <w:gridSpan w:val="5"/>
            <w:shd w:val="clear" w:color="auto" w:fill="F2F2F2"/>
          </w:tcPr>
          <w:p w14:paraId="78D66332" w14:textId="515BE006" w:rsidR="00A311C5" w:rsidRPr="002660A2" w:rsidRDefault="00A311C5" w:rsidP="00A311C5">
            <w:pPr>
              <w:spacing w:line="240" w:lineRule="auto"/>
              <w:jc w:val="both"/>
              <w:rPr>
                <w:rFonts w:ascii="Lato" w:hAnsi="Lato" w:cs="Arial"/>
                <w:b/>
                <w:bCs/>
                <w:sz w:val="20"/>
                <w:szCs w:val="20"/>
                <w:lang w:val="en-GB"/>
              </w:rPr>
            </w:pPr>
            <w:r w:rsidRPr="002660A2">
              <w:rPr>
                <w:rFonts w:ascii="Lato" w:hAnsi="Lato" w:cs="Arial"/>
                <w:b/>
                <w:bCs/>
                <w:sz w:val="20"/>
                <w:szCs w:val="20"/>
                <w:lang w:val="en-GB"/>
              </w:rPr>
              <w:t xml:space="preserve">Note: </w:t>
            </w:r>
            <w:r w:rsidRPr="002660A2">
              <w:rPr>
                <w:rFonts w:ascii="Lato" w:hAnsi="Lato" w:cs="Arial"/>
                <w:sz w:val="20"/>
                <w:szCs w:val="20"/>
                <w:lang w:val="en-GB"/>
              </w:rPr>
              <w:t>For the technical analy</w:t>
            </w:r>
            <w:r w:rsidRPr="003819FD">
              <w:rPr>
                <w:rFonts w:ascii="Lato" w:hAnsi="Lato" w:cs="Arial"/>
                <w:sz w:val="20"/>
                <w:szCs w:val="20"/>
                <w:lang w:val="en-GB"/>
              </w:rPr>
              <w:t xml:space="preserve">sis, </w:t>
            </w:r>
            <w:r w:rsidRPr="003819FD">
              <w:rPr>
                <w:rFonts w:ascii="Lato" w:hAnsi="Lato" w:cs="Arial"/>
                <w:b/>
                <w:bCs/>
                <w:sz w:val="20"/>
                <w:szCs w:val="20"/>
                <w:u w:val="single"/>
                <w:lang w:val="en-GB"/>
              </w:rPr>
              <w:t>a company must score 60% and above on the capability</w:t>
            </w:r>
            <w:r w:rsidRPr="002660A2">
              <w:rPr>
                <w:rFonts w:ascii="Lato" w:hAnsi="Lato" w:cs="Arial"/>
                <w:sz w:val="20"/>
                <w:szCs w:val="20"/>
                <w:lang w:val="en-GB"/>
              </w:rPr>
              <w:t xml:space="preserve"> to be considered in the next evaluation process and the ultimate decision will be based on </w:t>
            </w:r>
            <w:r>
              <w:rPr>
                <w:rFonts w:ascii="Lato" w:hAnsi="Lato" w:cs="Arial"/>
                <w:sz w:val="20"/>
                <w:szCs w:val="20"/>
                <w:lang w:val="en-GB"/>
              </w:rPr>
              <w:t xml:space="preserve">detail document and </w:t>
            </w:r>
            <w:r w:rsidRPr="002660A2">
              <w:rPr>
                <w:rFonts w:ascii="Lato" w:hAnsi="Lato" w:cs="Arial"/>
                <w:sz w:val="20"/>
                <w:szCs w:val="20"/>
                <w:lang w:val="en-GB"/>
              </w:rPr>
              <w:t>interview performance.</w:t>
            </w:r>
          </w:p>
          <w:p w14:paraId="06364015" w14:textId="77777777" w:rsidR="00A311C5" w:rsidRPr="002660A2" w:rsidRDefault="00A311C5" w:rsidP="00A311C5">
            <w:pPr>
              <w:spacing w:line="240" w:lineRule="auto"/>
              <w:jc w:val="both"/>
              <w:rPr>
                <w:rFonts w:ascii="Lato" w:hAnsi="Lato" w:cs="Arial"/>
                <w:b/>
                <w:color w:val="000000" w:themeColor="text1"/>
                <w:sz w:val="20"/>
                <w:szCs w:val="20"/>
                <w:lang w:val="en-GB"/>
              </w:rPr>
            </w:pPr>
          </w:p>
        </w:tc>
      </w:tr>
      <w:tr w:rsidR="00A311C5" w:rsidRPr="002660A2" w14:paraId="6E9882A8" w14:textId="6C7E8F7A" w:rsidTr="006403BD">
        <w:trPr>
          <w:trHeight w:hRule="exact" w:val="1444"/>
        </w:trPr>
        <w:tc>
          <w:tcPr>
            <w:tcW w:w="10435" w:type="dxa"/>
            <w:gridSpan w:val="5"/>
            <w:shd w:val="clear" w:color="auto" w:fill="F2F2F2"/>
          </w:tcPr>
          <w:p w14:paraId="64E62DC9" w14:textId="77777777" w:rsidR="00A311C5" w:rsidRPr="00174DD1" w:rsidRDefault="00A311C5" w:rsidP="00A311C5">
            <w:pPr>
              <w:spacing w:line="240" w:lineRule="auto"/>
              <w:jc w:val="both"/>
              <w:rPr>
                <w:rFonts w:ascii="Lato" w:hAnsi="Lato" w:cs="Arial"/>
                <w:b/>
                <w:bCs/>
                <w:sz w:val="20"/>
                <w:szCs w:val="20"/>
              </w:rPr>
            </w:pPr>
            <w:r w:rsidRPr="00174DD1">
              <w:rPr>
                <w:rFonts w:ascii="Segoe UI Emoji" w:hAnsi="Segoe UI Emoji" w:cs="Segoe UI Emoji"/>
                <w:b/>
                <w:bCs/>
                <w:sz w:val="20"/>
                <w:szCs w:val="20"/>
              </w:rPr>
              <w:t>🔹</w:t>
            </w:r>
            <w:r w:rsidRPr="00174DD1">
              <w:rPr>
                <w:rFonts w:ascii="Lato" w:hAnsi="Lato" w:cs="Arial"/>
                <w:b/>
                <w:bCs/>
                <w:sz w:val="20"/>
                <w:szCs w:val="20"/>
              </w:rPr>
              <w:t xml:space="preserve"> Final Interview Evaluation</w:t>
            </w:r>
          </w:p>
          <w:p w14:paraId="6D77632A" w14:textId="5A0F953F" w:rsidR="00A311C5" w:rsidRPr="00174DD1" w:rsidRDefault="00A311C5" w:rsidP="00A311C5">
            <w:pPr>
              <w:spacing w:line="240" w:lineRule="auto"/>
              <w:jc w:val="both"/>
              <w:rPr>
                <w:rFonts w:ascii="Lato" w:hAnsi="Lato" w:cs="Arial"/>
                <w:sz w:val="20"/>
                <w:szCs w:val="20"/>
              </w:rPr>
            </w:pPr>
            <w:r w:rsidRPr="00174DD1">
              <w:rPr>
                <w:rFonts w:ascii="Lato" w:hAnsi="Lato" w:cs="Arial"/>
                <w:sz w:val="20"/>
                <w:szCs w:val="20"/>
              </w:rPr>
              <w:t xml:space="preserve">Bidders who score </w:t>
            </w:r>
            <w:r w:rsidRPr="00174DD1">
              <w:rPr>
                <w:rFonts w:ascii="Lato" w:hAnsi="Lato" w:cs="Arial"/>
                <w:b/>
                <w:bCs/>
                <w:sz w:val="20"/>
                <w:szCs w:val="20"/>
              </w:rPr>
              <w:t>60%</w:t>
            </w:r>
            <w:r w:rsidRPr="00174DD1">
              <w:rPr>
                <w:rFonts w:ascii="Lato" w:hAnsi="Lato" w:cs="Arial"/>
                <w:sz w:val="20"/>
                <w:szCs w:val="20"/>
              </w:rPr>
              <w:t xml:space="preserve"> or above in the technical (capability), financial (commercial), and sustainability criteria will proceed to a final interview stage</w:t>
            </w:r>
            <w:r w:rsidRPr="002660A2">
              <w:rPr>
                <w:rFonts w:ascii="Lato" w:hAnsi="Lato" w:cs="Arial"/>
                <w:sz w:val="20"/>
                <w:szCs w:val="20"/>
              </w:rPr>
              <w:t>.</w:t>
            </w:r>
          </w:p>
          <w:p w14:paraId="182438B9" w14:textId="20A381FF" w:rsidR="00A311C5" w:rsidRPr="00174DD1" w:rsidRDefault="00A311C5" w:rsidP="00A311C5">
            <w:pPr>
              <w:spacing w:line="240" w:lineRule="auto"/>
              <w:jc w:val="both"/>
              <w:rPr>
                <w:rFonts w:ascii="Lato" w:hAnsi="Lato" w:cs="Arial"/>
                <w:b/>
                <w:bCs/>
                <w:sz w:val="20"/>
                <w:szCs w:val="20"/>
              </w:rPr>
            </w:pPr>
            <w:r w:rsidRPr="002660A2">
              <w:rPr>
                <w:rFonts w:ascii="Lato" w:hAnsi="Lato" w:cs="Arial"/>
                <w:b/>
                <w:bCs/>
                <w:sz w:val="20"/>
                <w:szCs w:val="20"/>
              </w:rPr>
              <w:t xml:space="preserve">Note: </w:t>
            </w:r>
            <w:r w:rsidRPr="00174DD1">
              <w:rPr>
                <w:rFonts w:ascii="Lato" w:hAnsi="Lato" w:cs="Arial"/>
                <w:b/>
                <w:bCs/>
                <w:sz w:val="20"/>
                <w:szCs w:val="20"/>
              </w:rPr>
              <w:t>The final selection will be based on the combined score from the proposal and interview performance.</w:t>
            </w:r>
          </w:p>
          <w:p w14:paraId="4E53250B" w14:textId="4C359FAA" w:rsidR="00A311C5" w:rsidRPr="002660A2" w:rsidRDefault="00A311C5" w:rsidP="00A311C5">
            <w:pPr>
              <w:spacing w:line="240" w:lineRule="auto"/>
              <w:jc w:val="center"/>
              <w:rPr>
                <w:rFonts w:ascii="Lato" w:hAnsi="Lato" w:cs="Arial"/>
                <w:b/>
                <w:bCs/>
                <w:sz w:val="20"/>
                <w:szCs w:val="20"/>
                <w:lang w:val="en-GB"/>
              </w:rPr>
            </w:pPr>
          </w:p>
        </w:tc>
      </w:tr>
      <w:tr w:rsidR="00A311C5" w:rsidRPr="002660A2" w14:paraId="2EDCF2AE" w14:textId="77777777" w:rsidTr="006403BD">
        <w:trPr>
          <w:trHeight w:hRule="exact" w:val="9083"/>
        </w:trPr>
        <w:tc>
          <w:tcPr>
            <w:tcW w:w="540" w:type="dxa"/>
            <w:shd w:val="clear" w:color="auto" w:fill="FFFFFF" w:themeFill="background1"/>
          </w:tcPr>
          <w:p w14:paraId="2865F217" w14:textId="11825750" w:rsidR="00A311C5" w:rsidRPr="00343CD6" w:rsidRDefault="00A311C5" w:rsidP="00A311C5">
            <w:pPr>
              <w:spacing w:line="240" w:lineRule="auto"/>
              <w:rPr>
                <w:rFonts w:ascii="Lato" w:hAnsi="Lato" w:cs="Arial"/>
                <w:color w:val="000000" w:themeColor="text1"/>
                <w:sz w:val="20"/>
                <w:szCs w:val="20"/>
              </w:rPr>
            </w:pPr>
            <w:r>
              <w:rPr>
                <w:rFonts w:ascii="Lato" w:hAnsi="Lato" w:cs="Arial"/>
                <w:color w:val="000000" w:themeColor="text1"/>
                <w:sz w:val="20"/>
                <w:szCs w:val="20"/>
              </w:rPr>
              <w:lastRenderedPageBreak/>
              <w:t>9</w:t>
            </w:r>
          </w:p>
        </w:tc>
        <w:tc>
          <w:tcPr>
            <w:tcW w:w="2245" w:type="dxa"/>
            <w:shd w:val="clear" w:color="auto" w:fill="FFFFFF" w:themeFill="background1"/>
          </w:tcPr>
          <w:p w14:paraId="6A0535D1" w14:textId="67B1226B" w:rsidR="00A311C5" w:rsidRPr="00343CD6" w:rsidRDefault="00A311C5" w:rsidP="00A311C5">
            <w:pPr>
              <w:spacing w:line="240" w:lineRule="auto"/>
              <w:rPr>
                <w:rFonts w:ascii="Lato" w:hAnsi="Lato" w:cs="Arial"/>
                <w:b/>
                <w:color w:val="000000" w:themeColor="text1"/>
                <w:sz w:val="20"/>
                <w:szCs w:val="20"/>
              </w:rPr>
            </w:pPr>
            <w:r>
              <w:rPr>
                <w:rFonts w:ascii="Lato" w:hAnsi="Lato" w:cs="Arial"/>
                <w:b/>
                <w:color w:val="000000" w:themeColor="text1"/>
                <w:sz w:val="20"/>
                <w:szCs w:val="20"/>
              </w:rPr>
              <w:t>Application Procedure</w:t>
            </w:r>
          </w:p>
        </w:tc>
        <w:tc>
          <w:tcPr>
            <w:tcW w:w="7650" w:type="dxa"/>
            <w:gridSpan w:val="3"/>
            <w:shd w:val="clear" w:color="auto" w:fill="FFFFFF" w:themeFill="background1"/>
          </w:tcPr>
          <w:p w14:paraId="7007340D" w14:textId="19FB3DDA" w:rsidR="00A311C5" w:rsidRDefault="00A311C5" w:rsidP="00A311C5">
            <w:pPr>
              <w:spacing w:after="0"/>
              <w:rPr>
                <w:rFonts w:ascii="Lato" w:hAnsi="Lato" w:cs="Arial"/>
                <w:color w:val="000000" w:themeColor="text1"/>
                <w:sz w:val="20"/>
                <w:szCs w:val="20"/>
              </w:rPr>
            </w:pPr>
            <w:r w:rsidRPr="006403BD">
              <w:rPr>
                <w:rFonts w:ascii="Lato" w:hAnsi="Lato" w:cs="Arial"/>
                <w:color w:val="000000" w:themeColor="text1"/>
                <w:sz w:val="20"/>
                <w:szCs w:val="20"/>
              </w:rPr>
              <w:t>Interested consultants who meet the required qualifications are invited to submit their bids. Each application package must include all minimum requirements specified above. </w:t>
            </w:r>
          </w:p>
          <w:p w14:paraId="1E90A440" w14:textId="77777777" w:rsidR="00A311C5" w:rsidRPr="006403BD" w:rsidRDefault="00A311C5" w:rsidP="00A311C5">
            <w:pPr>
              <w:spacing w:after="0"/>
              <w:rPr>
                <w:rFonts w:ascii="Lato" w:hAnsi="Lato" w:cs="Arial"/>
                <w:color w:val="000000" w:themeColor="text1"/>
                <w:sz w:val="20"/>
                <w:szCs w:val="20"/>
              </w:rPr>
            </w:pPr>
          </w:p>
          <w:p w14:paraId="5F64C730" w14:textId="77777777" w:rsidR="00A311C5" w:rsidRPr="006403BD" w:rsidRDefault="00A311C5" w:rsidP="00A311C5">
            <w:pPr>
              <w:spacing w:after="0"/>
              <w:rPr>
                <w:rFonts w:ascii="Lato" w:hAnsi="Lato" w:cs="Arial"/>
                <w:color w:val="000000" w:themeColor="text1"/>
                <w:sz w:val="20"/>
                <w:szCs w:val="20"/>
              </w:rPr>
            </w:pPr>
            <w:r w:rsidRPr="006403BD">
              <w:rPr>
                <w:rFonts w:ascii="Lato" w:hAnsi="Lato" w:cs="Arial"/>
                <w:b/>
                <w:bCs/>
                <w:color w:val="000000" w:themeColor="text1"/>
                <w:sz w:val="20"/>
                <w:szCs w:val="20"/>
              </w:rPr>
              <w:t>Submission method:</w:t>
            </w:r>
            <w:r w:rsidRPr="006403BD">
              <w:rPr>
                <w:rFonts w:ascii="Lato" w:hAnsi="Lato" w:cs="Arial"/>
                <w:color w:val="000000" w:themeColor="text1"/>
                <w:sz w:val="20"/>
                <w:szCs w:val="20"/>
              </w:rPr>
              <w:t> </w:t>
            </w:r>
            <w:r w:rsidRPr="006403BD">
              <w:rPr>
                <w:rFonts w:ascii="Lato" w:hAnsi="Lato" w:cs="Arial"/>
                <w:color w:val="000000" w:themeColor="text1"/>
                <w:sz w:val="20"/>
                <w:szCs w:val="20"/>
              </w:rPr>
              <w:br/>
              <w:t>Applications shall be submitted via the protected email tender box below: </w:t>
            </w:r>
          </w:p>
          <w:p w14:paraId="383A6F01" w14:textId="77777777" w:rsidR="00A311C5" w:rsidRDefault="00A311C5" w:rsidP="00A311C5">
            <w:pPr>
              <w:numPr>
                <w:ilvl w:val="0"/>
                <w:numId w:val="7"/>
              </w:numPr>
              <w:spacing w:after="0"/>
              <w:rPr>
                <w:rFonts w:ascii="Lato" w:hAnsi="Lato" w:cs="Arial"/>
                <w:color w:val="000000" w:themeColor="text1"/>
                <w:sz w:val="20"/>
                <w:szCs w:val="20"/>
              </w:rPr>
            </w:pPr>
            <w:r w:rsidRPr="006403BD">
              <w:rPr>
                <w:rFonts w:ascii="Lato" w:hAnsi="Lato" w:cs="Arial"/>
                <w:color w:val="000000" w:themeColor="text1"/>
                <w:sz w:val="20"/>
                <w:szCs w:val="20"/>
              </w:rPr>
              <w:t>Email: </w:t>
            </w:r>
            <w:hyperlink r:id="rId12" w:tgtFrame="_blank" w:history="1">
              <w:r w:rsidRPr="006403BD">
                <w:rPr>
                  <w:rStyle w:val="Hyperlink"/>
                  <w:rFonts w:ascii="Lato" w:hAnsi="Lato" w:cs="Arial"/>
                  <w:sz w:val="20"/>
                  <w:szCs w:val="20"/>
                </w:rPr>
                <w:t>Somaliland.Tenders@savethechildren.org</w:t>
              </w:r>
            </w:hyperlink>
            <w:r w:rsidRPr="006403BD">
              <w:rPr>
                <w:rFonts w:ascii="Lato" w:hAnsi="Lato" w:cs="Arial"/>
                <w:color w:val="000000" w:themeColor="text1"/>
                <w:sz w:val="20"/>
                <w:szCs w:val="20"/>
              </w:rPr>
              <w:t>   </w:t>
            </w:r>
          </w:p>
          <w:p w14:paraId="3C9A023D" w14:textId="77777777" w:rsidR="00A311C5" w:rsidRPr="006403BD" w:rsidRDefault="00A311C5" w:rsidP="00A311C5">
            <w:pPr>
              <w:numPr>
                <w:ilvl w:val="0"/>
                <w:numId w:val="7"/>
              </w:numPr>
              <w:spacing w:after="0"/>
              <w:rPr>
                <w:rFonts w:ascii="Lato" w:hAnsi="Lato" w:cs="Arial"/>
                <w:color w:val="000000" w:themeColor="text1"/>
                <w:sz w:val="20"/>
                <w:szCs w:val="20"/>
              </w:rPr>
            </w:pPr>
            <w:r w:rsidRPr="006403BD">
              <w:rPr>
                <w:rFonts w:ascii="Lato" w:hAnsi="Lato" w:cs="Arial"/>
                <w:color w:val="000000" w:themeColor="text1"/>
                <w:sz w:val="20"/>
                <w:szCs w:val="20"/>
              </w:rPr>
              <w:t>Please note that the tender box email is a sealed submission inbox and will not be accessed until the tender closing date. Therefore, it should not be used for queries, as no responses will be provided from this address.  </w:t>
            </w:r>
          </w:p>
          <w:p w14:paraId="0F4617E1" w14:textId="77777777" w:rsidR="00A311C5" w:rsidRDefault="00A311C5" w:rsidP="00A311C5">
            <w:pPr>
              <w:numPr>
                <w:ilvl w:val="0"/>
                <w:numId w:val="7"/>
              </w:numPr>
              <w:rPr>
                <w:rFonts w:ascii="Lato" w:hAnsi="Lato" w:cs="Arial"/>
                <w:color w:val="000000" w:themeColor="text1"/>
                <w:sz w:val="20"/>
                <w:szCs w:val="20"/>
              </w:rPr>
            </w:pPr>
            <w:r>
              <w:rPr>
                <w:rFonts w:ascii="Lato" w:hAnsi="Lato" w:cs="Arial"/>
                <w:color w:val="000000" w:themeColor="text1"/>
                <w:sz w:val="20"/>
                <w:szCs w:val="20"/>
              </w:rPr>
              <w:t>Bidder must send their applications to the above email, failing so may result disqualification from the process.</w:t>
            </w:r>
          </w:p>
          <w:p w14:paraId="339CC5E7" w14:textId="2852E5C9" w:rsidR="00A311C5" w:rsidRPr="006403BD" w:rsidRDefault="00A311C5" w:rsidP="00A311C5">
            <w:pPr>
              <w:spacing w:after="0"/>
              <w:rPr>
                <w:rFonts w:ascii="Lato" w:hAnsi="Lato" w:cs="Arial"/>
                <w:color w:val="000000" w:themeColor="text1"/>
                <w:sz w:val="20"/>
                <w:szCs w:val="20"/>
              </w:rPr>
            </w:pPr>
            <w:r w:rsidRPr="006403BD">
              <w:rPr>
                <w:rFonts w:ascii="Lato" w:hAnsi="Lato" w:cs="Arial"/>
                <w:color w:val="000000" w:themeColor="text1"/>
                <w:sz w:val="20"/>
                <w:szCs w:val="20"/>
              </w:rPr>
              <w:t> </w:t>
            </w:r>
            <w:r w:rsidRPr="006403BD">
              <w:rPr>
                <w:rFonts w:ascii="Lato" w:hAnsi="Lato" w:cs="Arial"/>
                <w:b/>
                <w:bCs/>
                <w:color w:val="000000" w:themeColor="text1"/>
                <w:sz w:val="20"/>
                <w:szCs w:val="20"/>
              </w:rPr>
              <w:t>Clarifications:</w:t>
            </w:r>
            <w:r w:rsidRPr="006403BD">
              <w:rPr>
                <w:rFonts w:ascii="Lato" w:hAnsi="Lato" w:cs="Arial"/>
                <w:color w:val="000000" w:themeColor="text1"/>
                <w:sz w:val="20"/>
                <w:szCs w:val="20"/>
              </w:rPr>
              <w:t> </w:t>
            </w:r>
          </w:p>
          <w:p w14:paraId="2060EF95" w14:textId="2CE88F6B" w:rsidR="00A311C5" w:rsidRPr="006403BD" w:rsidRDefault="00A311C5" w:rsidP="00A311C5">
            <w:pPr>
              <w:numPr>
                <w:ilvl w:val="0"/>
                <w:numId w:val="7"/>
              </w:numPr>
              <w:spacing w:after="0"/>
              <w:rPr>
                <w:rFonts w:ascii="Lato" w:hAnsi="Lato" w:cs="Arial"/>
                <w:color w:val="000000" w:themeColor="text1"/>
                <w:sz w:val="20"/>
                <w:szCs w:val="20"/>
              </w:rPr>
            </w:pPr>
            <w:r w:rsidRPr="006403BD">
              <w:rPr>
                <w:rFonts w:ascii="Lato" w:hAnsi="Lato" w:cs="Arial"/>
                <w:color w:val="000000" w:themeColor="text1"/>
                <w:sz w:val="20"/>
                <w:szCs w:val="20"/>
              </w:rPr>
              <w:t xml:space="preserve">Any requests for clarification should be sent </w:t>
            </w:r>
            <w:r>
              <w:rPr>
                <w:rFonts w:ascii="Lato" w:hAnsi="Lato" w:cs="Arial"/>
                <w:color w:val="000000" w:themeColor="text1"/>
                <w:sz w:val="20"/>
                <w:szCs w:val="20"/>
              </w:rPr>
              <w:t xml:space="preserve">to: </w:t>
            </w:r>
            <w:r w:rsidRPr="006403BD">
              <w:rPr>
                <w:rFonts w:ascii="Lato" w:hAnsi="Lato" w:cs="Arial"/>
                <w:color w:val="000000" w:themeColor="text1"/>
                <w:sz w:val="20"/>
                <w:szCs w:val="20"/>
              </w:rPr>
              <w:t> </w:t>
            </w:r>
            <w:hyperlink r:id="rId13" w:tgtFrame="_blank" w:history="1">
              <w:r w:rsidRPr="006403BD">
                <w:rPr>
                  <w:rStyle w:val="Hyperlink"/>
                  <w:rFonts w:ascii="Lato" w:hAnsi="Lato" w:cs="Arial"/>
                  <w:sz w:val="20"/>
                  <w:szCs w:val="20"/>
                </w:rPr>
                <w:t>Somaliland.procurement@savethechildren.org</w:t>
              </w:r>
            </w:hyperlink>
            <w:r w:rsidRPr="006403BD">
              <w:rPr>
                <w:rFonts w:ascii="Lato" w:hAnsi="Lato" w:cs="Arial"/>
                <w:color w:val="000000" w:themeColor="text1"/>
                <w:sz w:val="20"/>
                <w:szCs w:val="20"/>
              </w:rPr>
              <w:t>   </w:t>
            </w:r>
          </w:p>
          <w:p w14:paraId="41D3F79A" w14:textId="77777777" w:rsidR="00A311C5" w:rsidRPr="006403BD" w:rsidRDefault="00A311C5" w:rsidP="00A311C5">
            <w:pPr>
              <w:numPr>
                <w:ilvl w:val="0"/>
                <w:numId w:val="7"/>
              </w:numPr>
              <w:spacing w:after="0"/>
              <w:rPr>
                <w:rFonts w:ascii="Lato" w:hAnsi="Lato" w:cs="Arial"/>
                <w:color w:val="000000" w:themeColor="text1"/>
                <w:sz w:val="20"/>
                <w:szCs w:val="20"/>
              </w:rPr>
            </w:pPr>
            <w:r w:rsidRPr="006403BD">
              <w:rPr>
                <w:rFonts w:ascii="Lato" w:hAnsi="Lato" w:cs="Arial"/>
                <w:color w:val="000000" w:themeColor="text1"/>
                <w:sz w:val="20"/>
                <w:szCs w:val="20"/>
              </w:rPr>
              <w:t>Responses will be provided within a maximum of two (2) working days.  </w:t>
            </w:r>
          </w:p>
          <w:p w14:paraId="1037D71A" w14:textId="621C4633" w:rsidR="00A311C5" w:rsidRPr="006403BD" w:rsidRDefault="00A311C5" w:rsidP="00A311C5">
            <w:pPr>
              <w:spacing w:before="240" w:after="0"/>
              <w:rPr>
                <w:rFonts w:ascii="Lato" w:hAnsi="Lato" w:cs="Arial"/>
                <w:color w:val="000000" w:themeColor="text1"/>
                <w:sz w:val="20"/>
                <w:szCs w:val="20"/>
              </w:rPr>
            </w:pPr>
            <w:r w:rsidRPr="006403BD">
              <w:rPr>
                <w:rFonts w:ascii="Lato" w:hAnsi="Lato" w:cs="Arial"/>
                <w:color w:val="000000" w:themeColor="text1"/>
                <w:sz w:val="20"/>
                <w:szCs w:val="20"/>
              </w:rPr>
              <w:t> </w:t>
            </w:r>
            <w:r w:rsidRPr="006403BD">
              <w:rPr>
                <w:rFonts w:ascii="Lato" w:hAnsi="Lato" w:cs="Arial"/>
                <w:b/>
                <w:bCs/>
                <w:color w:val="000000" w:themeColor="text1"/>
                <w:sz w:val="20"/>
                <w:szCs w:val="20"/>
              </w:rPr>
              <w:t>Email subject line:</w:t>
            </w:r>
            <w:r w:rsidRPr="006403BD">
              <w:rPr>
                <w:rFonts w:ascii="Lato" w:hAnsi="Lato" w:cs="Arial"/>
                <w:color w:val="000000" w:themeColor="text1"/>
                <w:sz w:val="20"/>
                <w:szCs w:val="20"/>
              </w:rPr>
              <w:t> </w:t>
            </w:r>
          </w:p>
          <w:p w14:paraId="45F84F4B" w14:textId="01576CF6" w:rsidR="00A311C5" w:rsidRPr="006403BD" w:rsidRDefault="00A311C5" w:rsidP="00A311C5">
            <w:pPr>
              <w:numPr>
                <w:ilvl w:val="0"/>
                <w:numId w:val="7"/>
              </w:numPr>
              <w:rPr>
                <w:rFonts w:ascii="Lato" w:hAnsi="Lato" w:cs="Arial"/>
                <w:color w:val="000000" w:themeColor="text1"/>
                <w:sz w:val="20"/>
                <w:szCs w:val="20"/>
              </w:rPr>
            </w:pPr>
            <w:r w:rsidRPr="006403BD">
              <w:rPr>
                <w:rFonts w:ascii="Lato" w:hAnsi="Lato" w:cs="Arial"/>
                <w:color w:val="000000" w:themeColor="text1"/>
                <w:sz w:val="20"/>
                <w:szCs w:val="20"/>
              </w:rPr>
              <w:t>The subject of the submission email must be: </w:t>
            </w:r>
            <w:r w:rsidRPr="006403BD">
              <w:rPr>
                <w:b/>
                <w:bCs/>
              </w:rPr>
              <w:t xml:space="preserve">TOR of consultancy to conduct ESA and Development of ESSP (2027 – 2031) for Somaliland </w:t>
            </w:r>
            <w:proofErr w:type="spellStart"/>
            <w:r w:rsidRPr="006403BD">
              <w:rPr>
                <w:b/>
                <w:bCs/>
              </w:rPr>
              <w:t>MoES</w:t>
            </w:r>
            <w:proofErr w:type="spellEnd"/>
            <w:r w:rsidRPr="006403BD">
              <w:rPr>
                <w:rFonts w:ascii="Lato" w:hAnsi="Lato" w:cs="Arial"/>
                <w:b/>
                <w:bCs/>
                <w:color w:val="000000" w:themeColor="text1"/>
                <w:sz w:val="20"/>
                <w:szCs w:val="20"/>
              </w:rPr>
              <w:t xml:space="preserve"> </w:t>
            </w:r>
            <w:r w:rsidRPr="006403BD">
              <w:rPr>
                <w:rFonts w:ascii="Lato" w:hAnsi="Lato" w:cs="Arial"/>
                <w:color w:val="000000" w:themeColor="text1"/>
                <w:sz w:val="20"/>
                <w:szCs w:val="20"/>
              </w:rPr>
              <w:t>  </w:t>
            </w:r>
          </w:p>
          <w:p w14:paraId="6206CD28" w14:textId="77777777" w:rsidR="00A311C5" w:rsidRPr="006403BD" w:rsidRDefault="00A311C5" w:rsidP="00A311C5">
            <w:pPr>
              <w:spacing w:after="0"/>
              <w:rPr>
                <w:rFonts w:ascii="Lato" w:hAnsi="Lato" w:cs="Arial"/>
                <w:color w:val="000000" w:themeColor="text1"/>
                <w:sz w:val="20"/>
                <w:szCs w:val="20"/>
              </w:rPr>
            </w:pPr>
            <w:r w:rsidRPr="006403BD">
              <w:rPr>
                <w:rFonts w:ascii="Lato" w:hAnsi="Lato" w:cs="Arial"/>
                <w:b/>
                <w:bCs/>
                <w:color w:val="000000" w:themeColor="text1"/>
                <w:sz w:val="20"/>
                <w:szCs w:val="20"/>
              </w:rPr>
              <w:t>Submission requirements:</w:t>
            </w:r>
            <w:r w:rsidRPr="006403BD">
              <w:rPr>
                <w:rFonts w:ascii="Lato" w:hAnsi="Lato" w:cs="Arial"/>
                <w:color w:val="000000" w:themeColor="text1"/>
                <w:sz w:val="20"/>
                <w:szCs w:val="20"/>
              </w:rPr>
              <w:t> </w:t>
            </w:r>
          </w:p>
          <w:p w14:paraId="39F95A5D" w14:textId="77777777" w:rsidR="00A311C5" w:rsidRPr="006403BD" w:rsidRDefault="00A311C5" w:rsidP="00A311C5">
            <w:pPr>
              <w:numPr>
                <w:ilvl w:val="0"/>
                <w:numId w:val="7"/>
              </w:numPr>
              <w:spacing w:after="0"/>
              <w:rPr>
                <w:rFonts w:ascii="Lato" w:hAnsi="Lato" w:cs="Arial"/>
                <w:color w:val="000000" w:themeColor="text1"/>
                <w:sz w:val="20"/>
                <w:szCs w:val="20"/>
              </w:rPr>
            </w:pPr>
            <w:r w:rsidRPr="006403BD">
              <w:rPr>
                <w:rFonts w:ascii="Lato" w:hAnsi="Lato" w:cs="Arial"/>
                <w:color w:val="000000" w:themeColor="text1"/>
                <w:sz w:val="20"/>
                <w:szCs w:val="20"/>
              </w:rPr>
              <w:t>All attached documents must be clearly labelled to indicate their content.  </w:t>
            </w:r>
          </w:p>
          <w:p w14:paraId="2E0C6BAA" w14:textId="77777777" w:rsidR="00A311C5" w:rsidRPr="006403BD" w:rsidRDefault="00A311C5" w:rsidP="00A311C5">
            <w:pPr>
              <w:numPr>
                <w:ilvl w:val="0"/>
                <w:numId w:val="7"/>
              </w:numPr>
              <w:spacing w:after="0"/>
              <w:rPr>
                <w:rFonts w:ascii="Lato" w:hAnsi="Lato" w:cs="Arial"/>
                <w:color w:val="000000" w:themeColor="text1"/>
                <w:sz w:val="20"/>
                <w:szCs w:val="20"/>
              </w:rPr>
            </w:pPr>
            <w:r w:rsidRPr="006403BD">
              <w:rPr>
                <w:rFonts w:ascii="Lato" w:hAnsi="Lato" w:cs="Arial"/>
                <w:color w:val="000000" w:themeColor="text1"/>
                <w:sz w:val="20"/>
                <w:szCs w:val="20"/>
              </w:rPr>
              <w:t>Total email size must not exceed 15MB. Where necessary, submissions should be split into multiple emails.  </w:t>
            </w:r>
          </w:p>
          <w:p w14:paraId="2D8B3658" w14:textId="77777777" w:rsidR="00A311C5" w:rsidRDefault="00A311C5" w:rsidP="00A311C5">
            <w:pPr>
              <w:numPr>
                <w:ilvl w:val="0"/>
                <w:numId w:val="7"/>
              </w:numPr>
              <w:spacing w:after="0"/>
              <w:rPr>
                <w:rFonts w:ascii="Lato" w:hAnsi="Lato" w:cs="Arial"/>
                <w:color w:val="000000" w:themeColor="text1"/>
                <w:sz w:val="20"/>
                <w:szCs w:val="20"/>
              </w:rPr>
            </w:pPr>
            <w:r w:rsidRPr="006403BD">
              <w:rPr>
                <w:rFonts w:ascii="Lato" w:hAnsi="Lato" w:cs="Arial"/>
                <w:color w:val="000000" w:themeColor="text1"/>
                <w:sz w:val="20"/>
                <w:szCs w:val="20"/>
              </w:rPr>
              <w:t>Do not copy additional SCI staff email addresses when submitting your application, as this may invalidate your bid.  </w:t>
            </w:r>
          </w:p>
          <w:p w14:paraId="61799031" w14:textId="77777777" w:rsidR="00A311C5" w:rsidRDefault="00A311C5" w:rsidP="00A311C5">
            <w:pPr>
              <w:rPr>
                <w:rFonts w:ascii="Lato" w:hAnsi="Lato" w:cs="Arial"/>
                <w:color w:val="000000" w:themeColor="text1"/>
                <w:sz w:val="20"/>
                <w:szCs w:val="20"/>
              </w:rPr>
            </w:pPr>
            <w:r w:rsidRPr="006403BD">
              <w:rPr>
                <w:rFonts w:ascii="Lato" w:hAnsi="Lato" w:cs="Arial"/>
                <w:b/>
                <w:bCs/>
                <w:color w:val="000000" w:themeColor="text1"/>
                <w:sz w:val="20"/>
                <w:szCs w:val="20"/>
              </w:rPr>
              <w:t>Important notice:</w:t>
            </w:r>
            <w:r w:rsidRPr="006403BD">
              <w:rPr>
                <w:rFonts w:ascii="Lato" w:hAnsi="Lato" w:cs="Arial"/>
                <w:color w:val="000000" w:themeColor="text1"/>
                <w:sz w:val="20"/>
                <w:szCs w:val="20"/>
              </w:rPr>
              <w:t> </w:t>
            </w:r>
            <w:r w:rsidRPr="006403BD">
              <w:rPr>
                <w:rFonts w:ascii="Lato" w:hAnsi="Lato" w:cs="Arial"/>
                <w:color w:val="000000" w:themeColor="text1"/>
                <w:sz w:val="20"/>
                <w:szCs w:val="20"/>
              </w:rPr>
              <w:br/>
            </w:r>
            <w:r>
              <w:t xml:space="preserve"> </w:t>
            </w:r>
            <w:r w:rsidRPr="000033CA">
              <w:rPr>
                <w:rFonts w:ascii="Lato" w:hAnsi="Lato" w:cs="Arial"/>
                <w:color w:val="000000" w:themeColor="text1"/>
                <w:sz w:val="20"/>
                <w:szCs w:val="20"/>
              </w:rPr>
              <w:t>All applications must be submitted by the stated closing date to be eligible for consideration. Only shortlisted candidates will be contacted.</w:t>
            </w:r>
            <w:r>
              <w:rPr>
                <w:rFonts w:ascii="Lato" w:hAnsi="Lato" w:cs="Arial"/>
                <w:color w:val="000000" w:themeColor="text1"/>
                <w:sz w:val="20"/>
                <w:szCs w:val="20"/>
              </w:rPr>
              <w:t xml:space="preserve"> </w:t>
            </w:r>
            <w:r w:rsidRPr="000033CA">
              <w:rPr>
                <w:rFonts w:ascii="Lato" w:hAnsi="Lato" w:cs="Arial"/>
                <w:color w:val="000000" w:themeColor="text1"/>
                <w:sz w:val="20"/>
                <w:szCs w:val="20"/>
              </w:rPr>
              <w:t>Early submission is strongly encouraged, as last-minute submissions may experience technical or network delays, which could result in late receipt and disqualification.</w:t>
            </w:r>
          </w:p>
          <w:p w14:paraId="2C7434DC" w14:textId="77777777" w:rsidR="00A311C5" w:rsidRDefault="00A311C5" w:rsidP="00A311C5">
            <w:pPr>
              <w:rPr>
                <w:rFonts w:ascii="Lato" w:hAnsi="Lato" w:cs="Arial"/>
                <w:color w:val="000000" w:themeColor="text1"/>
                <w:sz w:val="20"/>
                <w:szCs w:val="20"/>
              </w:rPr>
            </w:pPr>
          </w:p>
          <w:p w14:paraId="64EE8E7B" w14:textId="07286BE0" w:rsidR="00A311C5" w:rsidRPr="006403BD" w:rsidRDefault="00A311C5" w:rsidP="00A311C5">
            <w:pPr>
              <w:rPr>
                <w:rFonts w:ascii="Lato" w:hAnsi="Lato" w:cs="Arial"/>
                <w:color w:val="000000" w:themeColor="text1"/>
                <w:sz w:val="20"/>
                <w:szCs w:val="20"/>
              </w:rPr>
            </w:pPr>
          </w:p>
        </w:tc>
      </w:tr>
      <w:tr w:rsidR="00A311C5" w:rsidRPr="0031532D" w14:paraId="3CE20555" w14:textId="77777777" w:rsidTr="00B36B7A">
        <w:trPr>
          <w:trHeight w:hRule="exact" w:val="6531"/>
        </w:trPr>
        <w:tc>
          <w:tcPr>
            <w:tcW w:w="540" w:type="dxa"/>
            <w:shd w:val="clear" w:color="auto" w:fill="FFFFFF" w:themeFill="background1"/>
          </w:tcPr>
          <w:p w14:paraId="75B16889" w14:textId="77777777" w:rsidR="00A311C5" w:rsidRPr="004E5032" w:rsidRDefault="00A311C5" w:rsidP="00A311C5">
            <w:pPr>
              <w:spacing w:line="240" w:lineRule="auto"/>
              <w:rPr>
                <w:rFonts w:ascii="Lato" w:hAnsi="Lato" w:cs="Arial"/>
                <w:color w:val="000000" w:themeColor="text1"/>
                <w:sz w:val="20"/>
                <w:szCs w:val="20"/>
                <w:highlight w:val="yellow"/>
              </w:rPr>
            </w:pPr>
          </w:p>
        </w:tc>
        <w:tc>
          <w:tcPr>
            <w:tcW w:w="2245" w:type="dxa"/>
            <w:shd w:val="clear" w:color="auto" w:fill="FFFFFF" w:themeFill="background1"/>
          </w:tcPr>
          <w:p w14:paraId="32043C0B" w14:textId="77777777" w:rsidR="00A311C5" w:rsidRPr="004E5032" w:rsidRDefault="00A311C5" w:rsidP="00A311C5">
            <w:pPr>
              <w:spacing w:line="240" w:lineRule="auto"/>
              <w:rPr>
                <w:rFonts w:ascii="Lato" w:hAnsi="Lato" w:cs="Arial"/>
                <w:b/>
                <w:color w:val="000000" w:themeColor="text1"/>
                <w:sz w:val="20"/>
                <w:szCs w:val="20"/>
                <w:highlight w:val="yellow"/>
              </w:rPr>
            </w:pPr>
          </w:p>
        </w:tc>
        <w:tc>
          <w:tcPr>
            <w:tcW w:w="7650" w:type="dxa"/>
            <w:gridSpan w:val="3"/>
            <w:shd w:val="clear" w:color="auto" w:fill="FFFFFF" w:themeFill="background1"/>
          </w:tcPr>
          <w:p w14:paraId="710AFEB0" w14:textId="77777777" w:rsidR="00A311C5" w:rsidRPr="009E7B7E" w:rsidRDefault="00A311C5" w:rsidP="00A311C5">
            <w:pPr>
              <w:pStyle w:val="NoSpacing"/>
              <w:rPr>
                <w:b/>
                <w:bCs/>
              </w:rPr>
            </w:pPr>
            <w:r w:rsidRPr="009E7B7E">
              <w:rPr>
                <w:b/>
                <w:bCs/>
              </w:rPr>
              <w:t>Bid Application Details:</w:t>
            </w:r>
          </w:p>
          <w:p w14:paraId="317148B5" w14:textId="23B00F1D" w:rsidR="00A311C5" w:rsidRPr="0031532D" w:rsidRDefault="00A311C5" w:rsidP="00A311C5">
            <w:pPr>
              <w:pStyle w:val="NoSpacing"/>
              <w:spacing w:after="240"/>
              <w:rPr>
                <w:rFonts w:ascii="Lato" w:hAnsi="Lato"/>
                <w:sz w:val="20"/>
                <w:szCs w:val="20"/>
              </w:rPr>
            </w:pPr>
            <w:r w:rsidRPr="009E7B7E">
              <w:t xml:space="preserve">Interested firms are invited to submit a </w:t>
            </w:r>
            <w:r w:rsidRPr="009E7B7E">
              <w:rPr>
                <w:bCs/>
              </w:rPr>
              <w:t>single tender application package</w:t>
            </w:r>
            <w:r w:rsidRPr="009E7B7E">
              <w:t xml:space="preserve"> for </w:t>
            </w:r>
            <w:r>
              <w:t>the</w:t>
            </w:r>
            <w:r w:rsidRPr="009E7B7E">
              <w:t xml:space="preserve"> assignment. </w:t>
            </w:r>
            <w:r w:rsidRPr="0031532D">
              <w:rPr>
                <w:rFonts w:ascii="Lato" w:hAnsi="Lato"/>
                <w:sz w:val="20"/>
                <w:szCs w:val="20"/>
              </w:rPr>
              <w:t>Applicant</w:t>
            </w:r>
            <w:r>
              <w:rPr>
                <w:rFonts w:ascii="Lato" w:hAnsi="Lato"/>
                <w:sz w:val="20"/>
                <w:szCs w:val="20"/>
              </w:rPr>
              <w:t xml:space="preserve"> firms</w:t>
            </w:r>
            <w:r w:rsidRPr="0031532D">
              <w:rPr>
                <w:rFonts w:ascii="Lato" w:hAnsi="Lato"/>
                <w:sz w:val="20"/>
                <w:szCs w:val="20"/>
              </w:rPr>
              <w:t xml:space="preserve"> are required to submit the following documents:</w:t>
            </w:r>
          </w:p>
          <w:p w14:paraId="61FF0A4A" w14:textId="40C06DDA" w:rsidR="00A311C5" w:rsidRPr="0031532D" w:rsidRDefault="00A311C5" w:rsidP="00A311C5">
            <w:pPr>
              <w:pStyle w:val="ListParagraph"/>
              <w:numPr>
                <w:ilvl w:val="0"/>
                <w:numId w:val="4"/>
              </w:numPr>
              <w:rPr>
                <w:rFonts w:ascii="Lato" w:hAnsi="Lato"/>
                <w:sz w:val="20"/>
                <w:szCs w:val="20"/>
              </w:rPr>
            </w:pPr>
            <w:r w:rsidRPr="0031532D">
              <w:rPr>
                <w:rFonts w:ascii="Lato" w:hAnsi="Lato"/>
                <w:b/>
                <w:sz w:val="20"/>
                <w:szCs w:val="20"/>
              </w:rPr>
              <w:t>Technical Proposal</w:t>
            </w:r>
            <w:r w:rsidRPr="0031532D">
              <w:rPr>
                <w:rFonts w:ascii="Lato" w:hAnsi="Lato"/>
                <w:sz w:val="20"/>
                <w:szCs w:val="20"/>
              </w:rPr>
              <w:t xml:space="preserve">: </w:t>
            </w:r>
            <w:r>
              <w:rPr>
                <w:rFonts w:ascii="Lato" w:hAnsi="Lato"/>
                <w:sz w:val="20"/>
                <w:szCs w:val="20"/>
              </w:rPr>
              <w:t>The technical</w:t>
            </w:r>
            <w:r w:rsidRPr="0031532D">
              <w:rPr>
                <w:rFonts w:ascii="Lato" w:hAnsi="Lato"/>
                <w:sz w:val="20"/>
                <w:szCs w:val="20"/>
              </w:rPr>
              <w:t xml:space="preserve"> proposal should provide a detailed response to the </w:t>
            </w:r>
            <w:proofErr w:type="spellStart"/>
            <w:r w:rsidRPr="0031532D">
              <w:rPr>
                <w:rFonts w:ascii="Lato" w:hAnsi="Lato"/>
                <w:sz w:val="20"/>
                <w:szCs w:val="20"/>
              </w:rPr>
              <w:t>ToR</w:t>
            </w:r>
            <w:proofErr w:type="spellEnd"/>
            <w:r w:rsidRPr="0031532D">
              <w:rPr>
                <w:rFonts w:ascii="Lato" w:hAnsi="Lato"/>
                <w:sz w:val="20"/>
                <w:szCs w:val="20"/>
              </w:rPr>
              <w:t>, clearly demonstrating understanding of the respective assignment’s scope of work, objectives, methodology, approach, timelines, and expected deliverable.</w:t>
            </w:r>
          </w:p>
          <w:p w14:paraId="103A9E1D" w14:textId="615E5FFF" w:rsidR="00A311C5" w:rsidRPr="0031532D" w:rsidRDefault="00A311C5" w:rsidP="00A311C5">
            <w:pPr>
              <w:pStyle w:val="ListParagraph"/>
              <w:numPr>
                <w:ilvl w:val="0"/>
                <w:numId w:val="4"/>
              </w:numPr>
              <w:rPr>
                <w:rFonts w:ascii="Lato" w:hAnsi="Lato"/>
                <w:sz w:val="20"/>
                <w:szCs w:val="20"/>
              </w:rPr>
            </w:pPr>
            <w:r w:rsidRPr="0031532D">
              <w:rPr>
                <w:rFonts w:ascii="Lato" w:hAnsi="Lato"/>
                <w:b/>
                <w:sz w:val="20"/>
                <w:szCs w:val="20"/>
              </w:rPr>
              <w:t>Financial Proposal:</w:t>
            </w:r>
            <w:r w:rsidRPr="0031532D">
              <w:rPr>
                <w:rFonts w:ascii="Lato" w:hAnsi="Lato"/>
                <w:sz w:val="20"/>
                <w:szCs w:val="20"/>
              </w:rPr>
              <w:t xml:space="preserve"> </w:t>
            </w:r>
            <w:r>
              <w:rPr>
                <w:rFonts w:ascii="Lato" w:hAnsi="Lato"/>
                <w:sz w:val="20"/>
                <w:szCs w:val="20"/>
              </w:rPr>
              <w:t>A</w:t>
            </w:r>
            <w:r w:rsidRPr="0031532D">
              <w:rPr>
                <w:rFonts w:ascii="Lato" w:hAnsi="Lato"/>
                <w:sz w:val="20"/>
                <w:szCs w:val="20"/>
              </w:rPr>
              <w:t xml:space="preserve"> detailed financial proposal</w:t>
            </w:r>
            <w:r>
              <w:rPr>
                <w:rFonts w:ascii="Lato" w:hAnsi="Lato"/>
                <w:sz w:val="20"/>
                <w:szCs w:val="20"/>
              </w:rPr>
              <w:t xml:space="preserve"> is</w:t>
            </w:r>
            <w:r w:rsidRPr="0031532D">
              <w:rPr>
                <w:rFonts w:ascii="Lato" w:hAnsi="Lato"/>
                <w:sz w:val="20"/>
                <w:szCs w:val="20"/>
              </w:rPr>
              <w:t xml:space="preserve"> required—one for each assignment. </w:t>
            </w:r>
            <w:r>
              <w:rPr>
                <w:rFonts w:ascii="Lato" w:hAnsi="Lato"/>
                <w:sz w:val="20"/>
                <w:szCs w:val="20"/>
              </w:rPr>
              <w:t>The</w:t>
            </w:r>
            <w:r w:rsidRPr="0031532D">
              <w:rPr>
                <w:rFonts w:ascii="Lato" w:hAnsi="Lato"/>
                <w:sz w:val="20"/>
                <w:szCs w:val="20"/>
              </w:rPr>
              <w:t xml:space="preserve"> financial proposal must provide a complete and itemized breakdown of all expected costs, including consultancy fees and associated operational expenses (e.g., accommodation, transportation, communication, stationery, data collection, and research assistance). All costs must be stated in USD and inclusive of applicable taxes. No additional costs will be considered beyond what is submitted in the financial bid.</w:t>
            </w:r>
          </w:p>
          <w:p w14:paraId="33D08139" w14:textId="50B337E0" w:rsidR="00A311C5" w:rsidRPr="0031532D" w:rsidRDefault="00A311C5" w:rsidP="00A311C5">
            <w:pPr>
              <w:pStyle w:val="ListParagraph"/>
              <w:numPr>
                <w:ilvl w:val="0"/>
                <w:numId w:val="4"/>
              </w:numPr>
              <w:rPr>
                <w:rFonts w:ascii="Lato" w:hAnsi="Lato"/>
                <w:sz w:val="20"/>
                <w:szCs w:val="20"/>
              </w:rPr>
            </w:pPr>
            <w:r w:rsidRPr="0031532D">
              <w:rPr>
                <w:rFonts w:ascii="Lato" w:hAnsi="Lato"/>
                <w:b/>
                <w:sz w:val="20"/>
                <w:szCs w:val="20"/>
              </w:rPr>
              <w:t>Firm Profile:</w:t>
            </w:r>
            <w:r w:rsidRPr="0031532D">
              <w:rPr>
                <w:rFonts w:ascii="Lato" w:hAnsi="Lato"/>
                <w:sz w:val="20"/>
                <w:szCs w:val="20"/>
              </w:rPr>
              <w:t xml:space="preserve"> For consultancy firms, a company profile outlining relevant past experience, particularly in </w:t>
            </w:r>
            <w:r>
              <w:rPr>
                <w:rFonts w:ascii="Lato" w:hAnsi="Lato"/>
                <w:sz w:val="20"/>
                <w:szCs w:val="20"/>
              </w:rPr>
              <w:t>ESA and ESSP development</w:t>
            </w:r>
            <w:r w:rsidRPr="0031532D">
              <w:rPr>
                <w:rFonts w:ascii="Lato" w:hAnsi="Lato"/>
                <w:sz w:val="20"/>
                <w:szCs w:val="20"/>
              </w:rPr>
              <w:t>.</w:t>
            </w:r>
          </w:p>
          <w:p w14:paraId="60FA3482" w14:textId="73A0341E" w:rsidR="00A311C5" w:rsidRPr="0031532D" w:rsidRDefault="00A311C5" w:rsidP="00A311C5">
            <w:pPr>
              <w:pStyle w:val="ListParagraph"/>
              <w:numPr>
                <w:ilvl w:val="0"/>
                <w:numId w:val="5"/>
              </w:numPr>
              <w:rPr>
                <w:rFonts w:ascii="Lato" w:hAnsi="Lato"/>
                <w:sz w:val="20"/>
                <w:szCs w:val="20"/>
              </w:rPr>
            </w:pPr>
            <w:r w:rsidRPr="0031532D">
              <w:rPr>
                <w:rFonts w:ascii="Lato" w:hAnsi="Lato"/>
                <w:b/>
                <w:sz w:val="20"/>
                <w:szCs w:val="20"/>
              </w:rPr>
              <w:t xml:space="preserve">Curriculum Vitae (CVs): </w:t>
            </w:r>
            <w:r w:rsidRPr="0031532D">
              <w:rPr>
                <w:rFonts w:ascii="Lato" w:hAnsi="Lato"/>
                <w:sz w:val="20"/>
                <w:szCs w:val="20"/>
              </w:rPr>
              <w:t>Each firm must propose</w:t>
            </w:r>
            <w:r>
              <w:rPr>
                <w:rFonts w:ascii="Lato" w:hAnsi="Lato"/>
                <w:sz w:val="20"/>
                <w:szCs w:val="20"/>
              </w:rPr>
              <w:t xml:space="preserve"> at least two technical consultants (lead consultant and co-lead consultant).</w:t>
            </w:r>
          </w:p>
          <w:p w14:paraId="79BD4008" w14:textId="284B0105" w:rsidR="00A311C5" w:rsidRPr="0031532D" w:rsidRDefault="00A311C5" w:rsidP="00A311C5">
            <w:pPr>
              <w:pStyle w:val="ListParagraph"/>
              <w:numPr>
                <w:ilvl w:val="0"/>
                <w:numId w:val="5"/>
              </w:numPr>
              <w:rPr>
                <w:rFonts w:ascii="Lato" w:hAnsi="Lato"/>
                <w:sz w:val="20"/>
                <w:szCs w:val="20"/>
              </w:rPr>
            </w:pPr>
            <w:r w:rsidRPr="0031532D">
              <w:rPr>
                <w:rFonts w:ascii="Lato" w:hAnsi="Lato"/>
                <w:bCs/>
                <w:sz w:val="20"/>
                <w:szCs w:val="20"/>
              </w:rPr>
              <w:t>Each CV must be complete, specific to the assignment</w:t>
            </w:r>
            <w:r w:rsidRPr="0031532D">
              <w:rPr>
                <w:rFonts w:ascii="Lato" w:hAnsi="Lato"/>
                <w:sz w:val="20"/>
                <w:szCs w:val="20"/>
              </w:rPr>
              <w:t xml:space="preserve">, and include at least </w:t>
            </w:r>
            <w:r w:rsidRPr="0031532D">
              <w:rPr>
                <w:rFonts w:ascii="Lato" w:hAnsi="Lato"/>
                <w:bCs/>
                <w:sz w:val="20"/>
                <w:szCs w:val="20"/>
              </w:rPr>
              <w:t>three traceable references</w:t>
            </w:r>
            <w:r w:rsidRPr="0031532D">
              <w:rPr>
                <w:rFonts w:ascii="Lato" w:hAnsi="Lato"/>
                <w:sz w:val="20"/>
                <w:szCs w:val="20"/>
              </w:rPr>
              <w:t xml:space="preserve">. </w:t>
            </w:r>
          </w:p>
          <w:p w14:paraId="6C4E66D1" w14:textId="77777777" w:rsidR="00A311C5" w:rsidRPr="0031532D" w:rsidRDefault="00A311C5" w:rsidP="00A311C5">
            <w:pPr>
              <w:pStyle w:val="ListParagraph"/>
              <w:numPr>
                <w:ilvl w:val="0"/>
                <w:numId w:val="5"/>
              </w:numPr>
              <w:rPr>
                <w:rFonts w:ascii="Lato" w:hAnsi="Lato"/>
                <w:sz w:val="20"/>
                <w:szCs w:val="20"/>
              </w:rPr>
            </w:pPr>
            <w:r w:rsidRPr="0031532D">
              <w:rPr>
                <w:rFonts w:ascii="Lato" w:hAnsi="Lato"/>
                <w:sz w:val="20"/>
                <w:szCs w:val="20"/>
              </w:rPr>
              <w:t>CVs should clearly demonstrate the candidate’s experience and qualifications in relation to the assignment they are being proposed for.</w:t>
            </w:r>
          </w:p>
          <w:p w14:paraId="331D3758" w14:textId="77777777" w:rsidR="00A311C5" w:rsidRDefault="00A311C5" w:rsidP="00A311C5">
            <w:pPr>
              <w:spacing w:after="0"/>
              <w:rPr>
                <w:rFonts w:ascii="Lato" w:hAnsi="Lato"/>
                <w:bCs/>
                <w:sz w:val="20"/>
                <w:szCs w:val="20"/>
              </w:rPr>
            </w:pPr>
          </w:p>
          <w:p w14:paraId="6780379A" w14:textId="4BCDFB1A" w:rsidR="00A311C5" w:rsidRPr="0031532D" w:rsidRDefault="00A311C5" w:rsidP="00A311C5">
            <w:pPr>
              <w:spacing w:after="0"/>
              <w:rPr>
                <w:rFonts w:ascii="Lato" w:hAnsi="Lato"/>
                <w:sz w:val="20"/>
                <w:szCs w:val="20"/>
              </w:rPr>
            </w:pPr>
            <w:r w:rsidRPr="0031532D">
              <w:rPr>
                <w:rFonts w:ascii="Lato" w:hAnsi="Lato"/>
                <w:bCs/>
                <w:sz w:val="20"/>
                <w:szCs w:val="20"/>
              </w:rPr>
              <w:t>Note</w:t>
            </w:r>
            <w:r w:rsidRPr="0031532D">
              <w:rPr>
                <w:rFonts w:ascii="Lato" w:hAnsi="Lato"/>
                <w:sz w:val="20"/>
                <w:szCs w:val="20"/>
              </w:rPr>
              <w:t xml:space="preserve">: Bidders who do not submit </w:t>
            </w:r>
            <w:r>
              <w:rPr>
                <w:rFonts w:ascii="Lato" w:hAnsi="Lato"/>
                <w:sz w:val="20"/>
                <w:szCs w:val="20"/>
              </w:rPr>
              <w:t xml:space="preserve">the </w:t>
            </w:r>
            <w:r w:rsidRPr="0031532D">
              <w:rPr>
                <w:rFonts w:ascii="Lato" w:hAnsi="Lato"/>
                <w:sz w:val="20"/>
                <w:szCs w:val="20"/>
              </w:rPr>
              <w:t xml:space="preserve">CVs </w:t>
            </w:r>
            <w:r>
              <w:rPr>
                <w:rFonts w:ascii="Lato" w:hAnsi="Lato"/>
                <w:sz w:val="20"/>
                <w:szCs w:val="20"/>
              </w:rPr>
              <w:t xml:space="preserve">for the lead individual consultants </w:t>
            </w:r>
            <w:r w:rsidRPr="0031532D">
              <w:rPr>
                <w:rFonts w:ascii="Lato" w:hAnsi="Lato"/>
                <w:sz w:val="20"/>
                <w:szCs w:val="20"/>
              </w:rPr>
              <w:t>will be considered non-compliant and disqualified from further evaluation.</w:t>
            </w:r>
          </w:p>
        </w:tc>
      </w:tr>
      <w:tr w:rsidR="00A311C5" w:rsidRPr="002660A2" w14:paraId="28062A8A" w14:textId="77777777" w:rsidTr="000033CA">
        <w:trPr>
          <w:trHeight w:hRule="exact" w:val="604"/>
        </w:trPr>
        <w:tc>
          <w:tcPr>
            <w:tcW w:w="540" w:type="dxa"/>
            <w:shd w:val="clear" w:color="auto" w:fill="F2F2F2"/>
          </w:tcPr>
          <w:p w14:paraId="1798841B" w14:textId="3CF86038" w:rsidR="00A311C5" w:rsidRPr="002660A2" w:rsidRDefault="00A311C5" w:rsidP="00A311C5">
            <w:pPr>
              <w:spacing w:line="240" w:lineRule="auto"/>
              <w:rPr>
                <w:rFonts w:ascii="Lato" w:hAnsi="Lato" w:cs="Arial"/>
                <w:color w:val="000000" w:themeColor="text1"/>
                <w:sz w:val="20"/>
                <w:szCs w:val="20"/>
              </w:rPr>
            </w:pPr>
            <w:r w:rsidRPr="002660A2">
              <w:rPr>
                <w:rFonts w:ascii="Lato" w:hAnsi="Lato" w:cs="Arial"/>
                <w:color w:val="000000" w:themeColor="text1"/>
                <w:sz w:val="20"/>
                <w:szCs w:val="20"/>
              </w:rPr>
              <w:t>10</w:t>
            </w:r>
          </w:p>
        </w:tc>
        <w:tc>
          <w:tcPr>
            <w:tcW w:w="2245" w:type="dxa"/>
            <w:shd w:val="clear" w:color="auto" w:fill="F2F2F2"/>
          </w:tcPr>
          <w:p w14:paraId="5110B887" w14:textId="77777777" w:rsidR="00A311C5" w:rsidRPr="002660A2" w:rsidRDefault="00A311C5" w:rsidP="00A311C5">
            <w:pPr>
              <w:spacing w:line="240" w:lineRule="auto"/>
              <w:rPr>
                <w:rFonts w:ascii="Lato" w:hAnsi="Lato" w:cs="Arial"/>
                <w:b/>
                <w:color w:val="000000" w:themeColor="text1"/>
                <w:sz w:val="20"/>
                <w:szCs w:val="20"/>
              </w:rPr>
            </w:pPr>
            <w:r w:rsidRPr="002660A2">
              <w:rPr>
                <w:rFonts w:ascii="Lato" w:hAnsi="Lato" w:cs="Arial"/>
                <w:b/>
                <w:color w:val="000000" w:themeColor="text1"/>
                <w:sz w:val="20"/>
                <w:szCs w:val="20"/>
              </w:rPr>
              <w:t>Closing date for Applications</w:t>
            </w:r>
          </w:p>
        </w:tc>
        <w:tc>
          <w:tcPr>
            <w:tcW w:w="7650" w:type="dxa"/>
            <w:gridSpan w:val="3"/>
          </w:tcPr>
          <w:p w14:paraId="09840024" w14:textId="03F30C0D" w:rsidR="00A311C5" w:rsidRPr="002660A2" w:rsidRDefault="00A311C5" w:rsidP="00A311C5">
            <w:pPr>
              <w:spacing w:after="0" w:line="240" w:lineRule="auto"/>
              <w:jc w:val="both"/>
              <w:rPr>
                <w:rFonts w:ascii="Lato" w:hAnsi="Lato" w:cs="Arial"/>
                <w:b/>
                <w:color w:val="000000" w:themeColor="text1"/>
                <w:sz w:val="20"/>
                <w:szCs w:val="20"/>
              </w:rPr>
            </w:pPr>
            <w:r w:rsidRPr="002660A2">
              <w:rPr>
                <w:rFonts w:ascii="Lato" w:hAnsi="Lato" w:cs="Arial"/>
                <w:bCs/>
                <w:color w:val="000000" w:themeColor="text1"/>
                <w:sz w:val="20"/>
                <w:szCs w:val="20"/>
              </w:rPr>
              <w:t xml:space="preserve">Interested consultants shall submit their </w:t>
            </w:r>
            <w:r>
              <w:rPr>
                <w:rFonts w:ascii="Lato" w:hAnsi="Lato" w:cs="Arial"/>
                <w:bCs/>
                <w:color w:val="000000" w:themeColor="text1"/>
                <w:sz w:val="20"/>
                <w:szCs w:val="20"/>
              </w:rPr>
              <w:t xml:space="preserve">BID </w:t>
            </w:r>
            <w:r w:rsidRPr="002660A2">
              <w:rPr>
                <w:rFonts w:ascii="Lato" w:hAnsi="Lato" w:cs="Arial"/>
                <w:bCs/>
                <w:color w:val="000000" w:themeColor="text1"/>
                <w:sz w:val="20"/>
                <w:szCs w:val="20"/>
              </w:rPr>
              <w:t>applications through the above procedures by</w:t>
            </w:r>
            <w:r>
              <w:rPr>
                <w:rFonts w:ascii="Lato" w:hAnsi="Lato" w:cs="Arial"/>
                <w:bCs/>
                <w:color w:val="000000" w:themeColor="text1"/>
                <w:sz w:val="20"/>
                <w:szCs w:val="20"/>
              </w:rPr>
              <w:t xml:space="preserve"> </w:t>
            </w:r>
            <w:hyperlink r:id="rId14" w:tgtFrame="_blank" w:history="1">
              <w:r w:rsidRPr="006403BD">
                <w:rPr>
                  <w:rStyle w:val="Hyperlink"/>
                  <w:rFonts w:ascii="Lato" w:hAnsi="Lato" w:cs="Arial"/>
                  <w:sz w:val="20"/>
                  <w:szCs w:val="20"/>
                </w:rPr>
                <w:t>Somaliland.Tenders@savethechildren.org</w:t>
              </w:r>
            </w:hyperlink>
            <w:r>
              <w:rPr>
                <w:rFonts w:ascii="Lato" w:hAnsi="Lato" w:cs="Arial"/>
                <w:color w:val="000000" w:themeColor="text1"/>
                <w:sz w:val="20"/>
                <w:szCs w:val="20"/>
              </w:rPr>
              <w:t xml:space="preserve"> </w:t>
            </w:r>
            <w:r w:rsidRPr="002660A2">
              <w:rPr>
                <w:sz w:val="20"/>
                <w:szCs w:val="20"/>
              </w:rPr>
              <w:t>on</w:t>
            </w:r>
            <w:r>
              <w:rPr>
                <w:sz w:val="20"/>
                <w:szCs w:val="20"/>
              </w:rPr>
              <w:t xml:space="preserve"> 2</w:t>
            </w:r>
            <w:r w:rsidR="00C174DF">
              <w:rPr>
                <w:sz w:val="20"/>
                <w:szCs w:val="20"/>
              </w:rPr>
              <w:t>2</w:t>
            </w:r>
            <w:r w:rsidR="00C174DF" w:rsidRPr="00C174DF">
              <w:rPr>
                <w:sz w:val="20"/>
                <w:szCs w:val="20"/>
                <w:vertAlign w:val="superscript"/>
              </w:rPr>
              <w:t>nd</w:t>
            </w:r>
            <w:r w:rsidR="00C174DF">
              <w:rPr>
                <w:sz w:val="20"/>
                <w:szCs w:val="20"/>
              </w:rPr>
              <w:t xml:space="preserve"> </w:t>
            </w:r>
            <w:r>
              <w:rPr>
                <w:sz w:val="20"/>
                <w:szCs w:val="20"/>
              </w:rPr>
              <w:t xml:space="preserve">July 2026 at 12:00 AM. </w:t>
            </w:r>
            <w:r w:rsidRPr="002660A2">
              <w:rPr>
                <w:sz w:val="20"/>
                <w:szCs w:val="20"/>
              </w:rPr>
              <w:t xml:space="preserve"> </w:t>
            </w:r>
          </w:p>
        </w:tc>
      </w:tr>
    </w:tbl>
    <w:p w14:paraId="373760C9" w14:textId="77777777" w:rsidR="00143323" w:rsidRDefault="00143323" w:rsidP="00AD266A">
      <w:pPr>
        <w:pStyle w:val="BodyText"/>
        <w:rPr>
          <w:rFonts w:ascii="Lato" w:hAnsi="Lato" w:cs="Arial"/>
          <w:b/>
          <w:sz w:val="20"/>
          <w:szCs w:val="20"/>
        </w:rPr>
      </w:pPr>
    </w:p>
    <w:tbl>
      <w:tblPr>
        <w:tblStyle w:val="TableGrid"/>
        <w:tblW w:w="10756" w:type="dxa"/>
        <w:tblInd w:w="-365" w:type="dxa"/>
        <w:tblLook w:val="04A0" w:firstRow="1" w:lastRow="0" w:firstColumn="1" w:lastColumn="0" w:noHBand="0" w:noVBand="1"/>
      </w:tblPr>
      <w:tblGrid>
        <w:gridCol w:w="6115"/>
        <w:gridCol w:w="2520"/>
        <w:gridCol w:w="2121"/>
      </w:tblGrid>
      <w:tr w:rsidR="00AD266A" w:rsidRPr="00D15476" w14:paraId="5CA7C79D" w14:textId="77777777" w:rsidTr="00867F09">
        <w:trPr>
          <w:trHeight w:val="454"/>
        </w:trPr>
        <w:tc>
          <w:tcPr>
            <w:tcW w:w="10756" w:type="dxa"/>
            <w:gridSpan w:val="3"/>
            <w:shd w:val="clear" w:color="auto" w:fill="FF0000"/>
            <w:vAlign w:val="center"/>
          </w:tcPr>
          <w:p w14:paraId="3405C6C8" w14:textId="77777777" w:rsidR="00AD266A" w:rsidRPr="00D15476" w:rsidRDefault="00AD266A" w:rsidP="005717BE">
            <w:pPr>
              <w:spacing w:after="0" w:line="240" w:lineRule="auto"/>
              <w:rPr>
                <w:rFonts w:ascii="Lato" w:hAnsi="Lato" w:cs="Arial"/>
                <w:b/>
                <w:sz w:val="20"/>
                <w:szCs w:val="20"/>
              </w:rPr>
            </w:pPr>
            <w:r w:rsidRPr="00D15476">
              <w:rPr>
                <w:rFonts w:ascii="Lato" w:hAnsi="Lato" w:cs="Arial"/>
                <w:b/>
                <w:sz w:val="20"/>
                <w:szCs w:val="20"/>
              </w:rPr>
              <w:t>We, the Bidder, hereby confirm we compliance with the following policies and requirements:</w:t>
            </w:r>
          </w:p>
        </w:tc>
      </w:tr>
      <w:tr w:rsidR="00AD266A" w:rsidRPr="00D15476" w14:paraId="70CB7B82" w14:textId="77777777" w:rsidTr="00867F09">
        <w:trPr>
          <w:trHeight w:val="244"/>
        </w:trPr>
        <w:tc>
          <w:tcPr>
            <w:tcW w:w="6115" w:type="dxa"/>
            <w:shd w:val="clear" w:color="auto" w:fill="D9D9D9" w:themeFill="background1" w:themeFillShade="D9"/>
            <w:vAlign w:val="center"/>
          </w:tcPr>
          <w:p w14:paraId="2BA1AD86" w14:textId="77777777" w:rsidR="00AD266A" w:rsidRPr="00D15476" w:rsidRDefault="00AD266A" w:rsidP="005717BE">
            <w:pPr>
              <w:spacing w:after="0" w:line="240" w:lineRule="auto"/>
              <w:jc w:val="center"/>
              <w:rPr>
                <w:rFonts w:ascii="Lato" w:hAnsi="Lato" w:cs="Arial"/>
                <w:b/>
                <w:sz w:val="20"/>
                <w:szCs w:val="20"/>
              </w:rPr>
            </w:pPr>
            <w:r w:rsidRPr="00D15476">
              <w:rPr>
                <w:rFonts w:ascii="Lato" w:hAnsi="Lato" w:cs="Arial"/>
                <w:b/>
                <w:sz w:val="20"/>
                <w:szCs w:val="20"/>
              </w:rPr>
              <w:t>Policy</w:t>
            </w:r>
          </w:p>
        </w:tc>
        <w:tc>
          <w:tcPr>
            <w:tcW w:w="2520" w:type="dxa"/>
            <w:shd w:val="clear" w:color="auto" w:fill="D9D9D9" w:themeFill="background1" w:themeFillShade="D9"/>
            <w:vAlign w:val="center"/>
          </w:tcPr>
          <w:p w14:paraId="748ABF33" w14:textId="77777777" w:rsidR="00AD266A" w:rsidRPr="00D15476" w:rsidRDefault="00AD266A" w:rsidP="005717BE">
            <w:pPr>
              <w:spacing w:after="0" w:line="240" w:lineRule="auto"/>
              <w:jc w:val="center"/>
              <w:rPr>
                <w:rFonts w:ascii="Lato" w:hAnsi="Lato" w:cs="Arial"/>
                <w:b/>
                <w:sz w:val="20"/>
                <w:szCs w:val="20"/>
              </w:rPr>
            </w:pPr>
            <w:r w:rsidRPr="00D15476">
              <w:rPr>
                <w:rFonts w:ascii="Lato" w:hAnsi="Lato" w:cs="Arial"/>
                <w:b/>
                <w:sz w:val="20"/>
                <w:szCs w:val="20"/>
              </w:rPr>
              <w:t>Policy / Document</w:t>
            </w:r>
          </w:p>
        </w:tc>
        <w:tc>
          <w:tcPr>
            <w:tcW w:w="2121" w:type="dxa"/>
            <w:shd w:val="clear" w:color="auto" w:fill="D9D9D9" w:themeFill="background1" w:themeFillShade="D9"/>
            <w:vAlign w:val="center"/>
          </w:tcPr>
          <w:p w14:paraId="09D5F959" w14:textId="77777777" w:rsidR="00AD266A" w:rsidRPr="00D15476" w:rsidRDefault="00AD266A" w:rsidP="005717BE">
            <w:pPr>
              <w:spacing w:after="0" w:line="240" w:lineRule="auto"/>
              <w:jc w:val="center"/>
              <w:rPr>
                <w:rFonts w:ascii="Lato" w:hAnsi="Lato" w:cs="Arial"/>
                <w:b/>
                <w:sz w:val="20"/>
                <w:szCs w:val="20"/>
              </w:rPr>
            </w:pPr>
            <w:r w:rsidRPr="00D15476">
              <w:rPr>
                <w:rFonts w:ascii="Lato" w:hAnsi="Lato" w:cs="Arial"/>
                <w:b/>
                <w:sz w:val="20"/>
                <w:szCs w:val="20"/>
              </w:rPr>
              <w:t>Signature</w:t>
            </w:r>
          </w:p>
        </w:tc>
      </w:tr>
      <w:tr w:rsidR="003A64B1" w:rsidRPr="00D15476" w14:paraId="78C3EE3C" w14:textId="77777777" w:rsidTr="00867F09">
        <w:trPr>
          <w:trHeight w:val="495"/>
        </w:trPr>
        <w:tc>
          <w:tcPr>
            <w:tcW w:w="6115" w:type="dxa"/>
            <w:vAlign w:val="center"/>
          </w:tcPr>
          <w:p w14:paraId="494E2290" w14:textId="77777777" w:rsidR="003A64B1" w:rsidRPr="00D15476" w:rsidRDefault="003A64B1" w:rsidP="00133950">
            <w:pPr>
              <w:spacing w:after="0" w:line="240" w:lineRule="auto"/>
              <w:rPr>
                <w:rFonts w:ascii="Lato" w:hAnsi="Lato" w:cs="Arial"/>
                <w:sz w:val="20"/>
                <w:szCs w:val="20"/>
              </w:rPr>
            </w:pPr>
            <w:r w:rsidRPr="00D15476">
              <w:rPr>
                <w:rFonts w:ascii="Lato" w:hAnsi="Lato" w:cs="Arial"/>
                <w:sz w:val="20"/>
                <w:szCs w:val="20"/>
              </w:rPr>
              <w:t>Terms &amp; Conditions of Bidding</w:t>
            </w:r>
          </w:p>
        </w:tc>
        <w:tc>
          <w:tcPr>
            <w:tcW w:w="2520" w:type="dxa"/>
            <w:vAlign w:val="center"/>
          </w:tcPr>
          <w:p w14:paraId="5590BD5C" w14:textId="7E84C179" w:rsidR="003A64B1" w:rsidRPr="00D15476" w:rsidRDefault="00833FB1" w:rsidP="005717BE">
            <w:pPr>
              <w:spacing w:after="0" w:line="240" w:lineRule="auto"/>
              <w:jc w:val="center"/>
              <w:rPr>
                <w:rFonts w:ascii="Lato" w:hAnsi="Lato" w:cs="Arial"/>
                <w:sz w:val="20"/>
                <w:szCs w:val="20"/>
              </w:rPr>
            </w:pPr>
            <w:r w:rsidRPr="00D15476">
              <w:rPr>
                <w:rFonts w:ascii="Lato" w:hAnsi="Lato" w:cs="Arial"/>
                <w:i/>
                <w:noProof/>
                <w:sz w:val="20"/>
                <w:szCs w:val="20"/>
              </w:rPr>
              <w:object w:dxaOrig="1311" w:dyaOrig="819" w14:anchorId="716E6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1pt;height:33.4pt" o:ole="">
                  <v:imagedata r:id="rId15" o:title=""/>
                </v:shape>
                <o:OLEObject Type="Embed" ProgID="AcroExch.Document.7" ShapeID="_x0000_i1025" DrawAspect="Icon" ObjectID="_1844400643" r:id="rId16"/>
              </w:object>
            </w:r>
          </w:p>
        </w:tc>
        <w:tc>
          <w:tcPr>
            <w:tcW w:w="2121" w:type="dxa"/>
            <w:vMerge w:val="restart"/>
            <w:vAlign w:val="center"/>
          </w:tcPr>
          <w:p w14:paraId="2CBD6477" w14:textId="77777777" w:rsidR="003A64B1" w:rsidRPr="00D15476" w:rsidRDefault="003A64B1" w:rsidP="005717BE">
            <w:pPr>
              <w:tabs>
                <w:tab w:val="left" w:pos="426"/>
                <w:tab w:val="left" w:pos="993"/>
              </w:tabs>
              <w:spacing w:after="0" w:line="240" w:lineRule="auto"/>
              <w:ind w:left="349"/>
              <w:rPr>
                <w:rFonts w:ascii="Lato" w:hAnsi="Lato" w:cs="Arial"/>
                <w:sz w:val="20"/>
                <w:szCs w:val="20"/>
              </w:rPr>
            </w:pPr>
          </w:p>
        </w:tc>
      </w:tr>
      <w:tr w:rsidR="003A64B1" w:rsidRPr="00D15476" w14:paraId="26435CAE" w14:textId="77777777" w:rsidTr="00867F09">
        <w:trPr>
          <w:trHeight w:val="215"/>
        </w:trPr>
        <w:tc>
          <w:tcPr>
            <w:tcW w:w="6115" w:type="dxa"/>
            <w:vAlign w:val="center"/>
          </w:tcPr>
          <w:p w14:paraId="41F64267" w14:textId="02BD8DE9" w:rsidR="003A64B1" w:rsidRPr="000A7D8F" w:rsidRDefault="006D3D02" w:rsidP="00133950">
            <w:pPr>
              <w:spacing w:after="0" w:line="240" w:lineRule="auto"/>
              <w:rPr>
                <w:rFonts w:ascii="Lato" w:hAnsi="Lato" w:cs="Arial"/>
                <w:sz w:val="20"/>
                <w:szCs w:val="20"/>
                <w:highlight w:val="yellow"/>
              </w:rPr>
            </w:pPr>
            <w:r w:rsidRPr="006D3D02">
              <w:rPr>
                <w:rFonts w:ascii="Lato" w:hAnsi="Lato" w:cs="Arial"/>
                <w:sz w:val="20"/>
                <w:szCs w:val="20"/>
              </w:rPr>
              <w:t>Supplier Sustainability Policy and the included mandatory policies</w:t>
            </w:r>
          </w:p>
        </w:tc>
        <w:tc>
          <w:tcPr>
            <w:tcW w:w="2520" w:type="dxa"/>
            <w:vAlign w:val="center"/>
          </w:tcPr>
          <w:p w14:paraId="1F5E4296" w14:textId="77777777" w:rsidR="003A64B1" w:rsidRPr="00D15476" w:rsidRDefault="003A64B1" w:rsidP="005717BE">
            <w:pPr>
              <w:spacing w:after="0" w:line="240" w:lineRule="auto"/>
              <w:jc w:val="center"/>
              <w:rPr>
                <w:rFonts w:ascii="Lato" w:hAnsi="Lato" w:cs="Arial"/>
                <w:sz w:val="20"/>
                <w:szCs w:val="20"/>
                <w:highlight w:val="yellow"/>
              </w:rPr>
            </w:pPr>
            <w:hyperlink r:id="rId17" w:history="1">
              <w:r w:rsidRPr="00D15476">
                <w:rPr>
                  <w:rStyle w:val="Hyperlink"/>
                  <w:rFonts w:ascii="Lato" w:hAnsi="Lato" w:cs="Arial"/>
                  <w:color w:val="auto"/>
                  <w:sz w:val="20"/>
                  <w:szCs w:val="20"/>
                </w:rPr>
                <w:t xml:space="preserve">Click Here to </w:t>
              </w:r>
              <w:r w:rsidRPr="00D15476">
                <w:rPr>
                  <w:rFonts w:ascii="Lato" w:hAnsi="Lato" w:cs="Arial"/>
                  <w:sz w:val="20"/>
                  <w:szCs w:val="20"/>
                </w:rPr>
                <w:t>Access</w:t>
              </w:r>
            </w:hyperlink>
          </w:p>
        </w:tc>
        <w:tc>
          <w:tcPr>
            <w:tcW w:w="2121" w:type="dxa"/>
            <w:vMerge/>
            <w:vAlign w:val="center"/>
          </w:tcPr>
          <w:p w14:paraId="7E2D2DCF" w14:textId="77777777" w:rsidR="003A64B1" w:rsidRPr="00D15476" w:rsidRDefault="003A64B1" w:rsidP="005717BE">
            <w:pPr>
              <w:spacing w:after="0" w:line="240" w:lineRule="auto"/>
              <w:jc w:val="center"/>
              <w:rPr>
                <w:rFonts w:ascii="Lato" w:hAnsi="Lato" w:cs="Arial"/>
                <w:sz w:val="20"/>
                <w:szCs w:val="20"/>
              </w:rPr>
            </w:pPr>
          </w:p>
        </w:tc>
      </w:tr>
    </w:tbl>
    <w:p w14:paraId="01474A12" w14:textId="77777777" w:rsidR="00AD266A" w:rsidRPr="00D15476" w:rsidRDefault="00AD266A" w:rsidP="00AD266A">
      <w:pPr>
        <w:pStyle w:val="paragraph"/>
        <w:spacing w:before="0" w:beforeAutospacing="0" w:after="0" w:afterAutospacing="0"/>
        <w:ind w:right="45"/>
        <w:jc w:val="both"/>
        <w:textAlignment w:val="baseline"/>
        <w:rPr>
          <w:rStyle w:val="scxw63843710"/>
          <w:rFonts w:ascii="Lato" w:hAnsi="Lato" w:cs="Arial"/>
          <w:sz w:val="20"/>
          <w:szCs w:val="20"/>
        </w:rPr>
      </w:pPr>
    </w:p>
    <w:tbl>
      <w:tblPr>
        <w:tblStyle w:val="TableGrid"/>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8721"/>
      </w:tblGrid>
      <w:tr w:rsidR="00AD266A" w:rsidRPr="00D15476" w14:paraId="083C83CE" w14:textId="77777777" w:rsidTr="005717BE">
        <w:trPr>
          <w:trHeight w:val="592"/>
        </w:trPr>
        <w:tc>
          <w:tcPr>
            <w:tcW w:w="10778" w:type="dxa"/>
            <w:gridSpan w:val="2"/>
          </w:tcPr>
          <w:p w14:paraId="61E21069" w14:textId="77777777" w:rsidR="00833FB1" w:rsidRPr="00355E34" w:rsidRDefault="00833FB1" w:rsidP="00355E34">
            <w:pPr>
              <w:pStyle w:val="NoSpacing"/>
              <w:rPr>
                <w:rStyle w:val="normaltextrun"/>
                <w:rFonts w:ascii="Lato" w:hAnsi="Lato" w:cs="Arial"/>
                <w:b/>
                <w:bCs/>
                <w:sz w:val="20"/>
                <w:szCs w:val="20"/>
              </w:rPr>
            </w:pPr>
            <w:r w:rsidRPr="00355E34">
              <w:rPr>
                <w:rStyle w:val="normaltextrun"/>
                <w:rFonts w:ascii="Lato" w:hAnsi="Lato" w:cs="Arial"/>
                <w:b/>
                <w:bCs/>
                <w:sz w:val="20"/>
                <w:szCs w:val="20"/>
              </w:rPr>
              <w:t>Note to Bidders:</w:t>
            </w:r>
          </w:p>
          <w:p w14:paraId="0E4856F4" w14:textId="20BEEE2E" w:rsidR="00AD266A" w:rsidRPr="00D15476" w:rsidRDefault="00833FB1" w:rsidP="00355E34">
            <w:pPr>
              <w:pStyle w:val="NoSpacing"/>
              <w:rPr>
                <w:rStyle w:val="scxw63843710"/>
                <w:rFonts w:ascii="Lato" w:hAnsi="Lato" w:cs="Arial"/>
                <w:sz w:val="20"/>
                <w:szCs w:val="20"/>
              </w:rPr>
            </w:pPr>
            <w:r w:rsidRPr="00833FB1">
              <w:rPr>
                <w:rStyle w:val="normaltextrun"/>
                <w:rFonts w:ascii="Lato" w:hAnsi="Lato" w:cs="Arial"/>
                <w:sz w:val="20"/>
                <w:szCs w:val="20"/>
              </w:rPr>
              <w:t>Each bidder is required to sign and complete the above section as confirmation of their acceptance and adherence to Save the Children’s policies. Save the Children will rely on these signed declarations as part of its evaluation and due diligence process</w:t>
            </w:r>
            <w:r w:rsidR="00355E34">
              <w:rPr>
                <w:rStyle w:val="normaltextrun"/>
                <w:rFonts w:ascii="Lato" w:hAnsi="Lato" w:cs="Arial"/>
                <w:sz w:val="20"/>
                <w:szCs w:val="20"/>
              </w:rPr>
              <w:t>.</w:t>
            </w:r>
          </w:p>
        </w:tc>
      </w:tr>
      <w:tr w:rsidR="00AD266A" w:rsidRPr="00D15476" w14:paraId="75F242BF" w14:textId="77777777" w:rsidTr="005717BE">
        <w:trPr>
          <w:trHeight w:val="494"/>
        </w:trPr>
        <w:tc>
          <w:tcPr>
            <w:tcW w:w="2057" w:type="dxa"/>
          </w:tcPr>
          <w:p w14:paraId="149937AA" w14:textId="77777777" w:rsidR="00AD266A" w:rsidRPr="00D15476" w:rsidRDefault="00AD266A" w:rsidP="00D72278">
            <w:pPr>
              <w:pStyle w:val="paragraph"/>
              <w:spacing w:before="0" w:beforeAutospacing="0" w:after="0" w:afterAutospacing="0"/>
              <w:ind w:right="43"/>
              <w:jc w:val="both"/>
              <w:textAlignment w:val="baseline"/>
              <w:rPr>
                <w:rStyle w:val="scxw63843710"/>
                <w:rFonts w:ascii="Lato" w:hAnsi="Lato" w:cs="Arial"/>
                <w:sz w:val="20"/>
                <w:szCs w:val="20"/>
              </w:rPr>
            </w:pPr>
            <w:r w:rsidRPr="00D15476">
              <w:rPr>
                <w:rStyle w:val="scxw63843710"/>
                <w:rFonts w:ascii="Lato" w:hAnsi="Lato" w:cs="Arial"/>
                <w:sz w:val="20"/>
                <w:szCs w:val="20"/>
              </w:rPr>
              <w:t>Signature:</w:t>
            </w:r>
          </w:p>
        </w:tc>
        <w:tc>
          <w:tcPr>
            <w:tcW w:w="8721" w:type="dxa"/>
          </w:tcPr>
          <w:p w14:paraId="54F92AF8" w14:textId="77777777" w:rsidR="00AD266A" w:rsidRPr="00D15476" w:rsidRDefault="00AD266A" w:rsidP="00D72278">
            <w:pPr>
              <w:pStyle w:val="paragraph"/>
              <w:spacing w:before="0" w:beforeAutospacing="0" w:after="0" w:afterAutospacing="0"/>
              <w:ind w:right="43"/>
              <w:jc w:val="both"/>
              <w:textAlignment w:val="baseline"/>
              <w:rPr>
                <w:rStyle w:val="scxw63843710"/>
                <w:rFonts w:ascii="Lato" w:hAnsi="Lato" w:cs="Arial"/>
                <w:sz w:val="20"/>
                <w:szCs w:val="20"/>
              </w:rPr>
            </w:pPr>
            <w:r w:rsidRPr="00D15476">
              <w:rPr>
                <w:rStyle w:val="scxw63843710"/>
                <w:rFonts w:ascii="Lato" w:hAnsi="Lato" w:cs="Arial"/>
                <w:sz w:val="20"/>
                <w:szCs w:val="20"/>
              </w:rPr>
              <w:t>…………………………………………………..</w:t>
            </w:r>
          </w:p>
        </w:tc>
      </w:tr>
      <w:tr w:rsidR="00AD266A" w:rsidRPr="00D15476" w14:paraId="2D85F557" w14:textId="77777777" w:rsidTr="005717BE">
        <w:trPr>
          <w:trHeight w:val="528"/>
        </w:trPr>
        <w:tc>
          <w:tcPr>
            <w:tcW w:w="2057" w:type="dxa"/>
          </w:tcPr>
          <w:p w14:paraId="69F78907" w14:textId="77777777" w:rsidR="00AD266A" w:rsidRPr="00D15476" w:rsidRDefault="00AD266A" w:rsidP="00D72278">
            <w:pPr>
              <w:pStyle w:val="paragraph"/>
              <w:spacing w:before="0" w:beforeAutospacing="0" w:after="0" w:afterAutospacing="0"/>
              <w:ind w:right="43"/>
              <w:jc w:val="both"/>
              <w:textAlignment w:val="baseline"/>
              <w:rPr>
                <w:rStyle w:val="scxw63843710"/>
                <w:rFonts w:ascii="Lato" w:hAnsi="Lato" w:cs="Arial"/>
                <w:sz w:val="20"/>
                <w:szCs w:val="20"/>
              </w:rPr>
            </w:pPr>
            <w:r w:rsidRPr="00D15476">
              <w:rPr>
                <w:rStyle w:val="scxw63843710"/>
                <w:rFonts w:ascii="Lato" w:hAnsi="Lato" w:cs="Arial"/>
                <w:sz w:val="20"/>
                <w:szCs w:val="20"/>
              </w:rPr>
              <w:t>Name:</w:t>
            </w:r>
          </w:p>
        </w:tc>
        <w:tc>
          <w:tcPr>
            <w:tcW w:w="8721" w:type="dxa"/>
          </w:tcPr>
          <w:p w14:paraId="5850C442" w14:textId="77777777" w:rsidR="00AD266A" w:rsidRPr="00D15476" w:rsidRDefault="00AD266A" w:rsidP="00D72278">
            <w:pPr>
              <w:pStyle w:val="paragraph"/>
              <w:spacing w:before="0" w:beforeAutospacing="0" w:after="0" w:afterAutospacing="0"/>
              <w:ind w:right="43"/>
              <w:jc w:val="both"/>
              <w:textAlignment w:val="baseline"/>
              <w:rPr>
                <w:rStyle w:val="scxw63843710"/>
                <w:rFonts w:ascii="Lato" w:hAnsi="Lato" w:cs="Arial"/>
                <w:sz w:val="20"/>
                <w:szCs w:val="20"/>
              </w:rPr>
            </w:pPr>
            <w:r w:rsidRPr="00D15476">
              <w:rPr>
                <w:rStyle w:val="scxw63843710"/>
                <w:rFonts w:ascii="Lato" w:hAnsi="Lato" w:cs="Arial"/>
                <w:sz w:val="20"/>
                <w:szCs w:val="20"/>
              </w:rPr>
              <w:t>…………………………………………………..</w:t>
            </w:r>
          </w:p>
        </w:tc>
      </w:tr>
      <w:tr w:rsidR="00AD266A" w:rsidRPr="00D15476" w14:paraId="14FBF637" w14:textId="77777777" w:rsidTr="005717BE">
        <w:trPr>
          <w:trHeight w:val="549"/>
        </w:trPr>
        <w:tc>
          <w:tcPr>
            <w:tcW w:w="2057" w:type="dxa"/>
          </w:tcPr>
          <w:p w14:paraId="0721CA86" w14:textId="77777777" w:rsidR="00AD266A" w:rsidRPr="00D15476" w:rsidRDefault="00AD266A" w:rsidP="00D72278">
            <w:pPr>
              <w:pStyle w:val="paragraph"/>
              <w:spacing w:before="0" w:beforeAutospacing="0" w:after="0" w:afterAutospacing="0"/>
              <w:ind w:right="43"/>
              <w:jc w:val="both"/>
              <w:textAlignment w:val="baseline"/>
              <w:rPr>
                <w:rStyle w:val="scxw63843710"/>
                <w:rFonts w:ascii="Lato" w:hAnsi="Lato" w:cs="Arial"/>
                <w:sz w:val="20"/>
                <w:szCs w:val="20"/>
              </w:rPr>
            </w:pPr>
            <w:r w:rsidRPr="00D15476">
              <w:rPr>
                <w:rStyle w:val="scxw63843710"/>
                <w:rFonts w:ascii="Lato" w:hAnsi="Lato" w:cs="Arial"/>
                <w:sz w:val="20"/>
                <w:szCs w:val="20"/>
              </w:rPr>
              <w:t>Title:</w:t>
            </w:r>
          </w:p>
        </w:tc>
        <w:tc>
          <w:tcPr>
            <w:tcW w:w="8721" w:type="dxa"/>
          </w:tcPr>
          <w:p w14:paraId="366327D5" w14:textId="77777777" w:rsidR="00AD266A" w:rsidRPr="00D15476" w:rsidRDefault="00AD266A" w:rsidP="00D72278">
            <w:pPr>
              <w:pStyle w:val="paragraph"/>
              <w:spacing w:before="0" w:beforeAutospacing="0" w:after="0" w:afterAutospacing="0"/>
              <w:ind w:right="43"/>
              <w:jc w:val="both"/>
              <w:textAlignment w:val="baseline"/>
              <w:rPr>
                <w:rStyle w:val="scxw63843710"/>
                <w:rFonts w:ascii="Lato" w:hAnsi="Lato" w:cs="Arial"/>
                <w:sz w:val="20"/>
                <w:szCs w:val="20"/>
              </w:rPr>
            </w:pPr>
            <w:r w:rsidRPr="00D15476">
              <w:rPr>
                <w:rStyle w:val="scxw63843710"/>
                <w:rFonts w:ascii="Lato" w:hAnsi="Lato" w:cs="Arial"/>
                <w:sz w:val="20"/>
                <w:szCs w:val="20"/>
              </w:rPr>
              <w:t>…………………………………………………..</w:t>
            </w:r>
          </w:p>
        </w:tc>
      </w:tr>
      <w:tr w:rsidR="00AD266A" w:rsidRPr="00D15476" w14:paraId="38C5BCEA" w14:textId="77777777" w:rsidTr="005717BE">
        <w:trPr>
          <w:trHeight w:val="531"/>
        </w:trPr>
        <w:tc>
          <w:tcPr>
            <w:tcW w:w="2057" w:type="dxa"/>
          </w:tcPr>
          <w:p w14:paraId="21215BAC" w14:textId="77777777" w:rsidR="00AD266A" w:rsidRPr="00D15476" w:rsidRDefault="00AD266A" w:rsidP="00D72278">
            <w:pPr>
              <w:pStyle w:val="paragraph"/>
              <w:spacing w:before="0" w:beforeAutospacing="0" w:after="0" w:afterAutospacing="0"/>
              <w:ind w:right="43"/>
              <w:jc w:val="both"/>
              <w:textAlignment w:val="baseline"/>
              <w:rPr>
                <w:rStyle w:val="scxw63843710"/>
                <w:rFonts w:ascii="Lato" w:hAnsi="Lato" w:cs="Arial"/>
                <w:sz w:val="20"/>
                <w:szCs w:val="20"/>
              </w:rPr>
            </w:pPr>
            <w:r w:rsidRPr="00D15476">
              <w:rPr>
                <w:rStyle w:val="scxw63843710"/>
                <w:rFonts w:ascii="Lato" w:hAnsi="Lato" w:cs="Arial"/>
                <w:sz w:val="20"/>
                <w:szCs w:val="20"/>
              </w:rPr>
              <w:t>Company:</w:t>
            </w:r>
          </w:p>
        </w:tc>
        <w:tc>
          <w:tcPr>
            <w:tcW w:w="8721" w:type="dxa"/>
          </w:tcPr>
          <w:p w14:paraId="17C69819" w14:textId="77777777" w:rsidR="00AD266A" w:rsidRPr="00D15476" w:rsidRDefault="00AD266A" w:rsidP="00D72278">
            <w:pPr>
              <w:pStyle w:val="paragraph"/>
              <w:spacing w:before="0" w:beforeAutospacing="0" w:after="0" w:afterAutospacing="0"/>
              <w:ind w:right="43"/>
              <w:jc w:val="both"/>
              <w:textAlignment w:val="baseline"/>
              <w:rPr>
                <w:rStyle w:val="scxw63843710"/>
                <w:rFonts w:ascii="Lato" w:hAnsi="Lato" w:cs="Arial"/>
                <w:sz w:val="20"/>
                <w:szCs w:val="20"/>
              </w:rPr>
            </w:pPr>
            <w:r w:rsidRPr="00D15476">
              <w:rPr>
                <w:rStyle w:val="scxw63843710"/>
                <w:rFonts w:ascii="Lato" w:hAnsi="Lato" w:cs="Arial"/>
                <w:sz w:val="20"/>
                <w:szCs w:val="20"/>
              </w:rPr>
              <w:t>…………………………………………………..</w:t>
            </w:r>
          </w:p>
        </w:tc>
      </w:tr>
      <w:tr w:rsidR="00AD266A" w:rsidRPr="00D15476" w14:paraId="4F2F0A12" w14:textId="77777777" w:rsidTr="005717BE">
        <w:trPr>
          <w:trHeight w:val="525"/>
        </w:trPr>
        <w:tc>
          <w:tcPr>
            <w:tcW w:w="2057" w:type="dxa"/>
          </w:tcPr>
          <w:p w14:paraId="14ED41F0" w14:textId="77777777" w:rsidR="00AD266A" w:rsidRPr="00D15476" w:rsidRDefault="00AD266A" w:rsidP="00D72278">
            <w:pPr>
              <w:pStyle w:val="paragraph"/>
              <w:spacing w:before="0" w:beforeAutospacing="0" w:after="0" w:afterAutospacing="0"/>
              <w:ind w:right="43"/>
              <w:jc w:val="both"/>
              <w:textAlignment w:val="baseline"/>
              <w:rPr>
                <w:rStyle w:val="scxw63843710"/>
                <w:rFonts w:ascii="Lato" w:hAnsi="Lato" w:cs="Arial"/>
                <w:sz w:val="20"/>
                <w:szCs w:val="20"/>
              </w:rPr>
            </w:pPr>
            <w:r w:rsidRPr="00D15476">
              <w:rPr>
                <w:rStyle w:val="scxw63843710"/>
                <w:rFonts w:ascii="Lato" w:hAnsi="Lato" w:cs="Arial"/>
                <w:sz w:val="20"/>
                <w:szCs w:val="20"/>
              </w:rPr>
              <w:t>Date:</w:t>
            </w:r>
          </w:p>
        </w:tc>
        <w:tc>
          <w:tcPr>
            <w:tcW w:w="8721" w:type="dxa"/>
          </w:tcPr>
          <w:p w14:paraId="6D07615C" w14:textId="77777777" w:rsidR="00AD266A" w:rsidRPr="00D15476" w:rsidRDefault="00AD266A" w:rsidP="00D72278">
            <w:pPr>
              <w:pStyle w:val="paragraph"/>
              <w:spacing w:before="0" w:beforeAutospacing="0" w:after="0" w:afterAutospacing="0"/>
              <w:ind w:right="43"/>
              <w:jc w:val="both"/>
              <w:textAlignment w:val="baseline"/>
              <w:rPr>
                <w:rStyle w:val="scxw63843710"/>
                <w:rFonts w:ascii="Lato" w:hAnsi="Lato" w:cs="Arial"/>
                <w:sz w:val="20"/>
                <w:szCs w:val="20"/>
              </w:rPr>
            </w:pPr>
            <w:r w:rsidRPr="00D15476">
              <w:rPr>
                <w:rStyle w:val="scxw63843710"/>
                <w:rFonts w:ascii="Lato" w:hAnsi="Lato" w:cs="Arial"/>
                <w:sz w:val="20"/>
                <w:szCs w:val="20"/>
              </w:rPr>
              <w:t>…………………………………………………..</w:t>
            </w:r>
          </w:p>
        </w:tc>
      </w:tr>
    </w:tbl>
    <w:p w14:paraId="46ED8C37" w14:textId="77777777" w:rsidR="00EB256C" w:rsidRPr="00E114A1" w:rsidRDefault="00EB256C" w:rsidP="00143323">
      <w:pPr>
        <w:spacing w:line="240" w:lineRule="auto"/>
        <w:jc w:val="center"/>
        <w:rPr>
          <w:rFonts w:ascii="Arial" w:hAnsi="Arial" w:cs="Arial"/>
          <w:b/>
          <w:color w:val="000000" w:themeColor="text1"/>
          <w:sz w:val="20"/>
          <w:szCs w:val="20"/>
        </w:rPr>
      </w:pPr>
    </w:p>
    <w:p w14:paraId="1AEA50C3" w14:textId="77777777" w:rsidR="00EB256C" w:rsidRDefault="00EB256C" w:rsidP="0031532D">
      <w:pPr>
        <w:spacing w:line="240" w:lineRule="auto"/>
        <w:rPr>
          <w:rFonts w:ascii="Arial" w:hAnsi="Arial" w:cs="Arial"/>
          <w:b/>
          <w:color w:val="000000" w:themeColor="text1"/>
          <w:sz w:val="20"/>
          <w:szCs w:val="20"/>
        </w:rPr>
      </w:pPr>
    </w:p>
    <w:p w14:paraId="17BE84B2" w14:textId="77777777" w:rsidR="00652408" w:rsidRPr="00A2271A" w:rsidRDefault="00652408" w:rsidP="00A2271A">
      <w:pPr>
        <w:spacing w:after="0" w:line="240" w:lineRule="auto"/>
        <w:jc w:val="center"/>
        <w:rPr>
          <w:rFonts w:ascii="Lato" w:hAnsi="Lato"/>
          <w:b/>
          <w:bCs/>
          <w:color w:val="333333"/>
          <w:sz w:val="24"/>
          <w:szCs w:val="24"/>
          <w:lang w:val="en-GB"/>
        </w:rPr>
      </w:pPr>
      <w:r w:rsidRPr="00A2271A">
        <w:rPr>
          <w:rFonts w:ascii="Lato" w:hAnsi="Lato"/>
          <w:b/>
          <w:bCs/>
          <w:color w:val="333333"/>
          <w:sz w:val="24"/>
          <w:szCs w:val="24"/>
          <w:lang w:val="en-GB"/>
        </w:rPr>
        <w:lastRenderedPageBreak/>
        <w:t>TERMS OF REFERENCE</w:t>
      </w:r>
    </w:p>
    <w:p w14:paraId="02F55ABD" w14:textId="77777777" w:rsidR="00652408" w:rsidRPr="00A2271A" w:rsidRDefault="00652408" w:rsidP="00A2271A">
      <w:pPr>
        <w:spacing w:after="0" w:line="240" w:lineRule="auto"/>
        <w:jc w:val="center"/>
        <w:rPr>
          <w:rFonts w:ascii="Lato" w:hAnsi="Lato"/>
          <w:b/>
          <w:bCs/>
          <w:color w:val="333333"/>
          <w:sz w:val="24"/>
          <w:szCs w:val="24"/>
          <w:lang w:val="en-GB"/>
        </w:rPr>
      </w:pPr>
      <w:r w:rsidRPr="00A2271A">
        <w:rPr>
          <w:rFonts w:ascii="Lato" w:hAnsi="Lato"/>
          <w:b/>
          <w:bCs/>
          <w:color w:val="333333"/>
          <w:sz w:val="24"/>
          <w:szCs w:val="24"/>
          <w:lang w:val="en-GB"/>
        </w:rPr>
        <w:t>Education Sector Analysis (ESA 2026)</w:t>
      </w:r>
    </w:p>
    <w:p w14:paraId="19A6AF5F" w14:textId="77777777" w:rsidR="00652408" w:rsidRPr="00A2271A" w:rsidRDefault="00652408" w:rsidP="00A2271A">
      <w:pPr>
        <w:spacing w:after="0" w:line="240" w:lineRule="auto"/>
        <w:jc w:val="center"/>
        <w:rPr>
          <w:rFonts w:ascii="Lato" w:hAnsi="Lato"/>
          <w:b/>
          <w:bCs/>
          <w:color w:val="333333"/>
          <w:sz w:val="24"/>
          <w:szCs w:val="24"/>
          <w:lang w:val="en-GB"/>
        </w:rPr>
      </w:pPr>
      <w:r w:rsidRPr="00A2271A">
        <w:rPr>
          <w:rFonts w:ascii="Lato" w:hAnsi="Lato"/>
          <w:b/>
          <w:bCs/>
          <w:color w:val="333333"/>
          <w:sz w:val="24"/>
          <w:szCs w:val="24"/>
          <w:lang w:val="en-GB"/>
        </w:rPr>
        <w:t>&amp;</w:t>
      </w:r>
    </w:p>
    <w:p w14:paraId="2AA29786" w14:textId="77777777" w:rsidR="00652408" w:rsidRPr="00A2271A" w:rsidRDefault="00652408" w:rsidP="00A2271A">
      <w:pPr>
        <w:spacing w:after="0" w:line="240" w:lineRule="auto"/>
        <w:jc w:val="center"/>
        <w:rPr>
          <w:rFonts w:ascii="Lato" w:hAnsi="Lato"/>
          <w:b/>
          <w:bCs/>
          <w:color w:val="333333"/>
          <w:sz w:val="24"/>
          <w:szCs w:val="24"/>
          <w:lang w:val="en-GB"/>
        </w:rPr>
      </w:pPr>
      <w:r w:rsidRPr="00A2271A">
        <w:rPr>
          <w:rFonts w:ascii="Lato" w:hAnsi="Lato"/>
          <w:b/>
          <w:bCs/>
          <w:color w:val="333333"/>
          <w:sz w:val="24"/>
          <w:szCs w:val="24"/>
          <w:lang w:val="en-GB"/>
        </w:rPr>
        <w:t>Development of the Education Sector Strategic Plan (ESSP 2027–2031)</w:t>
      </w:r>
    </w:p>
    <w:p w14:paraId="3A9BA926" w14:textId="77777777" w:rsidR="00652408" w:rsidRDefault="00652408" w:rsidP="00A2271A">
      <w:pPr>
        <w:spacing w:after="0" w:line="240" w:lineRule="auto"/>
        <w:jc w:val="center"/>
        <w:rPr>
          <w:rFonts w:ascii="Lato" w:hAnsi="Lato"/>
          <w:b/>
          <w:bCs/>
          <w:color w:val="333333"/>
          <w:sz w:val="24"/>
          <w:szCs w:val="24"/>
          <w:lang w:val="en-GB"/>
        </w:rPr>
      </w:pPr>
      <w:r w:rsidRPr="00A2271A">
        <w:rPr>
          <w:rFonts w:ascii="Lato" w:hAnsi="Lato"/>
          <w:b/>
          <w:bCs/>
          <w:color w:val="333333"/>
          <w:sz w:val="24"/>
          <w:szCs w:val="24"/>
          <w:lang w:val="en-GB"/>
        </w:rPr>
        <w:t>Somaliland Ministry of Education and Science (</w:t>
      </w:r>
      <w:proofErr w:type="spellStart"/>
      <w:r w:rsidRPr="00A2271A">
        <w:rPr>
          <w:rFonts w:ascii="Lato" w:hAnsi="Lato"/>
          <w:b/>
          <w:bCs/>
          <w:color w:val="333333"/>
          <w:sz w:val="24"/>
          <w:szCs w:val="24"/>
          <w:lang w:val="en-GB"/>
        </w:rPr>
        <w:t>MoES</w:t>
      </w:r>
      <w:proofErr w:type="spellEnd"/>
      <w:r w:rsidRPr="00A2271A">
        <w:rPr>
          <w:rFonts w:ascii="Lato" w:hAnsi="Lato"/>
          <w:b/>
          <w:bCs/>
          <w:color w:val="333333"/>
          <w:sz w:val="24"/>
          <w:szCs w:val="24"/>
          <w:lang w:val="en-GB"/>
        </w:rPr>
        <w:t>)</w:t>
      </w:r>
    </w:p>
    <w:p w14:paraId="6195B686" w14:textId="77777777" w:rsidR="00A2271A" w:rsidRPr="00A2271A" w:rsidRDefault="00A2271A" w:rsidP="00A2271A">
      <w:pPr>
        <w:spacing w:after="0" w:line="240" w:lineRule="auto"/>
        <w:jc w:val="center"/>
        <w:rPr>
          <w:rFonts w:ascii="Lato" w:hAnsi="Lato"/>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652408" w:rsidRPr="00A2271A" w14:paraId="747FBB9A" w14:textId="77777777" w:rsidTr="0097037F">
        <w:tc>
          <w:tcPr>
            <w:tcW w:w="2400" w:type="dxa"/>
            <w:tcBorders>
              <w:top w:val="single" w:sz="1" w:space="0" w:color="CCCCCC"/>
              <w:left w:val="single" w:sz="1" w:space="0" w:color="CCCCCC"/>
              <w:bottom w:val="single" w:sz="1" w:space="0" w:color="CCCCCC"/>
              <w:right w:val="single" w:sz="1" w:space="0" w:color="CCCCCC"/>
            </w:tcBorders>
            <w:shd w:val="clear" w:color="auto" w:fill="DCE6F1"/>
            <w:tcMar>
              <w:top w:w="80" w:type="dxa"/>
              <w:left w:w="120" w:type="dxa"/>
              <w:bottom w:w="80" w:type="dxa"/>
              <w:right w:w="120" w:type="dxa"/>
            </w:tcMar>
          </w:tcPr>
          <w:p w14:paraId="00B4FCDC" w14:textId="77777777" w:rsidR="00652408" w:rsidRPr="00A2271A" w:rsidRDefault="00652408" w:rsidP="0097037F">
            <w:pPr>
              <w:rPr>
                <w:rFonts w:ascii="Lato" w:hAnsi="Lato"/>
                <w:b/>
                <w:bCs/>
                <w:sz w:val="20"/>
                <w:szCs w:val="20"/>
                <w:lang w:val="en-GB"/>
              </w:rPr>
            </w:pPr>
            <w:r w:rsidRPr="00A2271A">
              <w:rPr>
                <w:rFonts w:ascii="Lato" w:hAnsi="Lato"/>
                <w:b/>
                <w:bCs/>
                <w:sz w:val="20"/>
                <w:szCs w:val="20"/>
                <w:lang w:val="en-GB"/>
              </w:rPr>
              <w:t>Title of Consultancy</w:t>
            </w:r>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554689" w14:textId="77777777" w:rsidR="00652408" w:rsidRPr="00A2271A" w:rsidRDefault="00652408" w:rsidP="0097037F">
            <w:pPr>
              <w:rPr>
                <w:rFonts w:ascii="Lato" w:hAnsi="Lato"/>
                <w:sz w:val="20"/>
                <w:szCs w:val="20"/>
                <w:lang w:val="en-GB"/>
              </w:rPr>
            </w:pPr>
            <w:r w:rsidRPr="00A2271A">
              <w:rPr>
                <w:rFonts w:ascii="Lato" w:hAnsi="Lato"/>
                <w:sz w:val="20"/>
                <w:szCs w:val="20"/>
                <w:lang w:val="en-GB"/>
              </w:rPr>
              <w:t>Conducting Education Sector Analysis (ESA) 2026 and Development of Education Sector Strategic Plan (ESSP) in 2027 to 2031.</w:t>
            </w:r>
          </w:p>
        </w:tc>
      </w:tr>
      <w:tr w:rsidR="00652408" w:rsidRPr="00A2271A" w14:paraId="5BEFCCC7" w14:textId="77777777" w:rsidTr="0097037F">
        <w:tc>
          <w:tcPr>
            <w:tcW w:w="2400" w:type="dxa"/>
            <w:tcBorders>
              <w:top w:val="single" w:sz="1" w:space="0" w:color="CCCCCC"/>
              <w:left w:val="single" w:sz="1" w:space="0" w:color="CCCCCC"/>
              <w:bottom w:val="single" w:sz="1" w:space="0" w:color="CCCCCC"/>
              <w:right w:val="single" w:sz="1" w:space="0" w:color="CCCCCC"/>
            </w:tcBorders>
            <w:shd w:val="clear" w:color="auto" w:fill="DCE6F1"/>
            <w:tcMar>
              <w:top w:w="80" w:type="dxa"/>
              <w:left w:w="120" w:type="dxa"/>
              <w:bottom w:w="80" w:type="dxa"/>
              <w:right w:w="120" w:type="dxa"/>
            </w:tcMar>
          </w:tcPr>
          <w:p w14:paraId="634CF356" w14:textId="77777777" w:rsidR="00652408" w:rsidRPr="00A2271A" w:rsidRDefault="00652408" w:rsidP="0097037F">
            <w:pPr>
              <w:rPr>
                <w:rFonts w:ascii="Lato" w:hAnsi="Lato"/>
                <w:b/>
                <w:bCs/>
                <w:sz w:val="20"/>
                <w:szCs w:val="20"/>
                <w:lang w:val="en-GB"/>
              </w:rPr>
            </w:pPr>
            <w:r w:rsidRPr="00A2271A">
              <w:rPr>
                <w:rFonts w:ascii="Lato" w:hAnsi="Lato"/>
                <w:b/>
                <w:bCs/>
                <w:sz w:val="20"/>
                <w:szCs w:val="20"/>
                <w:lang w:val="en-GB"/>
              </w:rPr>
              <w:t>Commissioning Agency</w:t>
            </w:r>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2015C4" w14:textId="77777777" w:rsidR="00652408" w:rsidRPr="00A2271A" w:rsidRDefault="00652408" w:rsidP="0097037F">
            <w:pPr>
              <w:rPr>
                <w:rFonts w:ascii="Lato" w:hAnsi="Lato"/>
                <w:sz w:val="20"/>
                <w:szCs w:val="20"/>
                <w:lang w:val="en-GB"/>
              </w:rPr>
            </w:pPr>
            <w:r w:rsidRPr="00A2271A">
              <w:rPr>
                <w:rFonts w:ascii="Lato" w:hAnsi="Lato"/>
                <w:sz w:val="20"/>
                <w:szCs w:val="20"/>
                <w:lang w:val="en-GB"/>
              </w:rPr>
              <w:t>Ministry of Education and Science (</w:t>
            </w:r>
            <w:proofErr w:type="spellStart"/>
            <w:r w:rsidRPr="00A2271A">
              <w:rPr>
                <w:rFonts w:ascii="Lato" w:hAnsi="Lato"/>
                <w:sz w:val="20"/>
                <w:szCs w:val="20"/>
                <w:lang w:val="en-GB"/>
              </w:rPr>
              <w:t>MoES</w:t>
            </w:r>
            <w:proofErr w:type="spellEnd"/>
            <w:r w:rsidRPr="00A2271A">
              <w:rPr>
                <w:rFonts w:ascii="Lato" w:hAnsi="Lato"/>
                <w:sz w:val="20"/>
                <w:szCs w:val="20"/>
                <w:lang w:val="en-GB"/>
              </w:rPr>
              <w:t>), Republic of Somaliland</w:t>
            </w:r>
          </w:p>
        </w:tc>
      </w:tr>
      <w:tr w:rsidR="00652408" w:rsidRPr="00A2271A" w14:paraId="7782A1EC" w14:textId="77777777" w:rsidTr="0097037F">
        <w:tc>
          <w:tcPr>
            <w:tcW w:w="2400" w:type="dxa"/>
            <w:tcBorders>
              <w:top w:val="single" w:sz="1" w:space="0" w:color="CCCCCC"/>
              <w:left w:val="single" w:sz="1" w:space="0" w:color="CCCCCC"/>
              <w:bottom w:val="single" w:sz="1" w:space="0" w:color="CCCCCC"/>
              <w:right w:val="single" w:sz="1" w:space="0" w:color="CCCCCC"/>
            </w:tcBorders>
            <w:shd w:val="clear" w:color="auto" w:fill="DCE6F1"/>
            <w:tcMar>
              <w:top w:w="80" w:type="dxa"/>
              <w:left w:w="120" w:type="dxa"/>
              <w:bottom w:w="80" w:type="dxa"/>
              <w:right w:w="120" w:type="dxa"/>
            </w:tcMar>
          </w:tcPr>
          <w:p w14:paraId="198FE090" w14:textId="77777777" w:rsidR="00652408" w:rsidRPr="00A2271A" w:rsidRDefault="00652408" w:rsidP="0097037F">
            <w:pPr>
              <w:rPr>
                <w:rFonts w:ascii="Lato" w:hAnsi="Lato"/>
                <w:lang w:val="en-GB"/>
              </w:rPr>
            </w:pPr>
            <w:r w:rsidRPr="00A2271A">
              <w:rPr>
                <w:rFonts w:ascii="Lato" w:hAnsi="Lato"/>
                <w:b/>
                <w:bCs/>
                <w:sz w:val="20"/>
                <w:szCs w:val="20"/>
                <w:lang w:val="en-GB"/>
              </w:rPr>
              <w:t>Funding Partner</w:t>
            </w:r>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A6A7DD" w14:textId="77777777" w:rsidR="00652408" w:rsidRPr="00A2271A" w:rsidRDefault="00652408" w:rsidP="0097037F">
            <w:pPr>
              <w:rPr>
                <w:rFonts w:ascii="Lato" w:hAnsi="Lato"/>
                <w:lang w:val="en-GB"/>
              </w:rPr>
            </w:pPr>
            <w:r w:rsidRPr="00A2271A">
              <w:rPr>
                <w:rFonts w:ascii="Lato" w:hAnsi="Lato"/>
                <w:sz w:val="20"/>
                <w:szCs w:val="20"/>
                <w:lang w:val="en-GB"/>
              </w:rPr>
              <w:t xml:space="preserve">Save the Children </w:t>
            </w:r>
          </w:p>
        </w:tc>
      </w:tr>
      <w:tr w:rsidR="00652408" w:rsidRPr="00A2271A" w14:paraId="79CC27B8" w14:textId="77777777" w:rsidTr="0097037F">
        <w:tc>
          <w:tcPr>
            <w:tcW w:w="2400" w:type="dxa"/>
            <w:tcBorders>
              <w:top w:val="single" w:sz="1" w:space="0" w:color="CCCCCC"/>
              <w:left w:val="single" w:sz="1" w:space="0" w:color="CCCCCC"/>
              <w:bottom w:val="single" w:sz="1" w:space="0" w:color="CCCCCC"/>
              <w:right w:val="single" w:sz="1" w:space="0" w:color="CCCCCC"/>
            </w:tcBorders>
            <w:shd w:val="clear" w:color="auto" w:fill="DCE6F1"/>
            <w:tcMar>
              <w:top w:w="80" w:type="dxa"/>
              <w:left w:w="120" w:type="dxa"/>
              <w:bottom w:w="80" w:type="dxa"/>
              <w:right w:w="120" w:type="dxa"/>
            </w:tcMar>
          </w:tcPr>
          <w:p w14:paraId="698AD65D" w14:textId="77777777" w:rsidR="00652408" w:rsidRPr="00A2271A" w:rsidRDefault="00652408" w:rsidP="0097037F">
            <w:pPr>
              <w:rPr>
                <w:rFonts w:ascii="Lato" w:hAnsi="Lato"/>
                <w:lang w:val="en-GB"/>
              </w:rPr>
            </w:pPr>
            <w:r w:rsidRPr="00A2271A">
              <w:rPr>
                <w:rFonts w:ascii="Lato" w:hAnsi="Lato"/>
                <w:b/>
                <w:bCs/>
                <w:sz w:val="20"/>
                <w:szCs w:val="20"/>
                <w:lang w:val="en-GB"/>
              </w:rPr>
              <w:t>Assignment Type</w:t>
            </w:r>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4EA2E7" w14:textId="77777777" w:rsidR="00652408" w:rsidRPr="00A2271A" w:rsidRDefault="00652408" w:rsidP="0097037F">
            <w:pPr>
              <w:rPr>
                <w:rFonts w:ascii="Lato" w:hAnsi="Lato"/>
                <w:lang w:val="en-GB"/>
              </w:rPr>
            </w:pPr>
            <w:r w:rsidRPr="00A2271A">
              <w:rPr>
                <w:rFonts w:ascii="Lato" w:hAnsi="Lato"/>
                <w:sz w:val="20"/>
                <w:szCs w:val="20"/>
                <w:lang w:val="en-GB"/>
              </w:rPr>
              <w:t>International/National Consultancy</w:t>
            </w:r>
          </w:p>
        </w:tc>
      </w:tr>
      <w:tr w:rsidR="00652408" w:rsidRPr="00A2271A" w14:paraId="17B78283" w14:textId="77777777" w:rsidTr="0097037F">
        <w:tc>
          <w:tcPr>
            <w:tcW w:w="2400" w:type="dxa"/>
            <w:tcBorders>
              <w:top w:val="single" w:sz="1" w:space="0" w:color="CCCCCC"/>
              <w:left w:val="single" w:sz="1" w:space="0" w:color="CCCCCC"/>
              <w:bottom w:val="single" w:sz="1" w:space="0" w:color="CCCCCC"/>
              <w:right w:val="single" w:sz="1" w:space="0" w:color="CCCCCC"/>
            </w:tcBorders>
            <w:shd w:val="clear" w:color="auto" w:fill="DCE6F1"/>
            <w:tcMar>
              <w:top w:w="80" w:type="dxa"/>
              <w:left w:w="120" w:type="dxa"/>
              <w:bottom w:w="80" w:type="dxa"/>
              <w:right w:w="120" w:type="dxa"/>
            </w:tcMar>
          </w:tcPr>
          <w:p w14:paraId="281CB9B4" w14:textId="77777777" w:rsidR="00652408" w:rsidRPr="00A2271A" w:rsidRDefault="00652408" w:rsidP="0097037F">
            <w:pPr>
              <w:rPr>
                <w:rFonts w:ascii="Lato" w:hAnsi="Lato"/>
                <w:lang w:val="en-GB"/>
              </w:rPr>
            </w:pPr>
            <w:r w:rsidRPr="00A2271A">
              <w:rPr>
                <w:rFonts w:ascii="Lato" w:hAnsi="Lato"/>
                <w:b/>
                <w:bCs/>
                <w:sz w:val="20"/>
                <w:szCs w:val="20"/>
                <w:lang w:val="en-GB"/>
              </w:rPr>
              <w:t>ESA Reference Period</w:t>
            </w:r>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0CEB9B" w14:textId="77777777" w:rsidR="00652408" w:rsidRPr="00A2271A" w:rsidRDefault="00652408" w:rsidP="0097037F">
            <w:pPr>
              <w:rPr>
                <w:rFonts w:ascii="Lato" w:hAnsi="Lato"/>
                <w:lang w:val="en-GB"/>
              </w:rPr>
            </w:pPr>
            <w:r w:rsidRPr="00A2271A">
              <w:rPr>
                <w:rFonts w:ascii="Lato" w:hAnsi="Lato"/>
                <w:sz w:val="20"/>
                <w:szCs w:val="20"/>
                <w:lang w:val="en-GB"/>
              </w:rPr>
              <w:t xml:space="preserve">ESSP 2022–2026 (assessment) </w:t>
            </w:r>
          </w:p>
        </w:tc>
      </w:tr>
      <w:tr w:rsidR="00652408" w:rsidRPr="00A2271A" w14:paraId="7326650E" w14:textId="77777777" w:rsidTr="0097037F">
        <w:tc>
          <w:tcPr>
            <w:tcW w:w="2400" w:type="dxa"/>
            <w:tcBorders>
              <w:top w:val="single" w:sz="1" w:space="0" w:color="CCCCCC"/>
              <w:left w:val="single" w:sz="1" w:space="0" w:color="CCCCCC"/>
              <w:bottom w:val="single" w:sz="1" w:space="0" w:color="CCCCCC"/>
              <w:right w:val="single" w:sz="1" w:space="0" w:color="CCCCCC"/>
            </w:tcBorders>
            <w:shd w:val="clear" w:color="auto" w:fill="DCE6F1"/>
            <w:tcMar>
              <w:top w:w="80" w:type="dxa"/>
              <w:left w:w="120" w:type="dxa"/>
              <w:bottom w:w="80" w:type="dxa"/>
              <w:right w:w="120" w:type="dxa"/>
            </w:tcMar>
          </w:tcPr>
          <w:p w14:paraId="76168FF6" w14:textId="77777777" w:rsidR="00652408" w:rsidRPr="00A2271A" w:rsidRDefault="00652408" w:rsidP="0097037F">
            <w:pPr>
              <w:rPr>
                <w:rFonts w:ascii="Lato" w:hAnsi="Lato"/>
                <w:lang w:val="en-GB"/>
              </w:rPr>
            </w:pPr>
            <w:r w:rsidRPr="00A2271A">
              <w:rPr>
                <w:rFonts w:ascii="Lato" w:hAnsi="Lato"/>
                <w:b/>
                <w:bCs/>
                <w:sz w:val="20"/>
                <w:szCs w:val="20"/>
                <w:lang w:val="en-GB"/>
              </w:rPr>
              <w:t>New ESSP Period</w:t>
            </w:r>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9DCF4B" w14:textId="77777777" w:rsidR="00652408" w:rsidRPr="00A2271A" w:rsidRDefault="00652408" w:rsidP="0097037F">
            <w:pPr>
              <w:rPr>
                <w:rFonts w:ascii="Lato" w:hAnsi="Lato"/>
                <w:lang w:val="en-GB"/>
              </w:rPr>
            </w:pPr>
            <w:r w:rsidRPr="00A2271A">
              <w:rPr>
                <w:rFonts w:ascii="Lato" w:hAnsi="Lato"/>
                <w:sz w:val="20"/>
                <w:szCs w:val="20"/>
                <w:lang w:val="en-GB"/>
              </w:rPr>
              <w:t>2027–2031 (five-year strategic plan)</w:t>
            </w:r>
          </w:p>
        </w:tc>
      </w:tr>
      <w:tr w:rsidR="00652408" w:rsidRPr="00A2271A" w14:paraId="3B4666C5" w14:textId="77777777" w:rsidTr="0097037F">
        <w:tc>
          <w:tcPr>
            <w:tcW w:w="2400" w:type="dxa"/>
            <w:tcBorders>
              <w:top w:val="single" w:sz="1" w:space="0" w:color="CCCCCC"/>
              <w:left w:val="single" w:sz="1" w:space="0" w:color="CCCCCC"/>
              <w:bottom w:val="single" w:sz="1" w:space="0" w:color="CCCCCC"/>
              <w:right w:val="single" w:sz="1" w:space="0" w:color="CCCCCC"/>
            </w:tcBorders>
            <w:shd w:val="clear" w:color="auto" w:fill="DCE6F1"/>
            <w:tcMar>
              <w:top w:w="80" w:type="dxa"/>
              <w:left w:w="120" w:type="dxa"/>
              <w:bottom w:w="80" w:type="dxa"/>
              <w:right w:w="120" w:type="dxa"/>
            </w:tcMar>
          </w:tcPr>
          <w:p w14:paraId="22FFD11C" w14:textId="77777777" w:rsidR="00652408" w:rsidRPr="00A2271A" w:rsidRDefault="00652408" w:rsidP="0097037F">
            <w:pPr>
              <w:rPr>
                <w:rFonts w:ascii="Lato" w:hAnsi="Lato"/>
                <w:lang w:val="en-GB"/>
              </w:rPr>
            </w:pPr>
            <w:r w:rsidRPr="00A2271A">
              <w:rPr>
                <w:rFonts w:ascii="Lato" w:hAnsi="Lato"/>
                <w:b/>
                <w:bCs/>
                <w:sz w:val="20"/>
                <w:szCs w:val="20"/>
                <w:lang w:val="en-GB"/>
              </w:rPr>
              <w:t>Action Plan Period</w:t>
            </w:r>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05DEEF" w14:textId="77777777" w:rsidR="00652408" w:rsidRPr="00A2271A" w:rsidRDefault="00652408" w:rsidP="0097037F">
            <w:pPr>
              <w:rPr>
                <w:rFonts w:ascii="Lato" w:hAnsi="Lato"/>
                <w:lang w:val="en-GB"/>
              </w:rPr>
            </w:pPr>
            <w:r w:rsidRPr="00A2271A">
              <w:rPr>
                <w:rFonts w:ascii="Lato" w:hAnsi="Lato"/>
                <w:sz w:val="20"/>
                <w:szCs w:val="20"/>
                <w:lang w:val="en-GB"/>
              </w:rPr>
              <w:t>2027–2029 (three-year costed action plan)</w:t>
            </w:r>
          </w:p>
        </w:tc>
      </w:tr>
      <w:tr w:rsidR="00652408" w:rsidRPr="00A2271A" w14:paraId="2EA00ABD" w14:textId="77777777" w:rsidTr="0097037F">
        <w:tc>
          <w:tcPr>
            <w:tcW w:w="2400" w:type="dxa"/>
            <w:tcBorders>
              <w:top w:val="single" w:sz="1" w:space="0" w:color="CCCCCC"/>
              <w:left w:val="single" w:sz="1" w:space="0" w:color="CCCCCC"/>
              <w:bottom w:val="single" w:sz="1" w:space="0" w:color="CCCCCC"/>
              <w:right w:val="single" w:sz="1" w:space="0" w:color="CCCCCC"/>
            </w:tcBorders>
            <w:shd w:val="clear" w:color="auto" w:fill="DCE6F1"/>
            <w:tcMar>
              <w:top w:w="80" w:type="dxa"/>
              <w:left w:w="120" w:type="dxa"/>
              <w:bottom w:w="80" w:type="dxa"/>
              <w:right w:w="120" w:type="dxa"/>
            </w:tcMar>
          </w:tcPr>
          <w:p w14:paraId="16E15548" w14:textId="77777777" w:rsidR="00652408" w:rsidRPr="00A2271A" w:rsidRDefault="00652408" w:rsidP="0097037F">
            <w:pPr>
              <w:rPr>
                <w:rFonts w:ascii="Lato" w:hAnsi="Lato"/>
                <w:lang w:val="en-GB"/>
              </w:rPr>
            </w:pPr>
            <w:r w:rsidRPr="00A2271A">
              <w:rPr>
                <w:rFonts w:ascii="Lato" w:hAnsi="Lato"/>
                <w:b/>
                <w:bCs/>
                <w:sz w:val="20"/>
                <w:szCs w:val="20"/>
                <w:lang w:val="en-GB"/>
              </w:rPr>
              <w:t>Expected Start Date</w:t>
            </w:r>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916A18" w14:textId="77777777" w:rsidR="00652408" w:rsidRPr="00A2271A" w:rsidRDefault="00652408" w:rsidP="0097037F">
            <w:pPr>
              <w:rPr>
                <w:rFonts w:ascii="Lato" w:hAnsi="Lato"/>
                <w:lang w:val="en-GB"/>
              </w:rPr>
            </w:pPr>
            <w:r w:rsidRPr="00A2271A">
              <w:rPr>
                <w:rFonts w:ascii="Lato" w:hAnsi="Lato"/>
                <w:sz w:val="20"/>
                <w:szCs w:val="20"/>
                <w:lang w:val="en-GB"/>
              </w:rPr>
              <w:t>July 2026</w:t>
            </w:r>
          </w:p>
        </w:tc>
      </w:tr>
      <w:tr w:rsidR="00652408" w:rsidRPr="00A2271A" w14:paraId="4C767669" w14:textId="77777777" w:rsidTr="0097037F">
        <w:tc>
          <w:tcPr>
            <w:tcW w:w="2400" w:type="dxa"/>
            <w:tcBorders>
              <w:top w:val="single" w:sz="1" w:space="0" w:color="CCCCCC"/>
              <w:left w:val="single" w:sz="1" w:space="0" w:color="CCCCCC"/>
              <w:bottom w:val="single" w:sz="1" w:space="0" w:color="CCCCCC"/>
              <w:right w:val="single" w:sz="1" w:space="0" w:color="CCCCCC"/>
            </w:tcBorders>
            <w:shd w:val="clear" w:color="auto" w:fill="DCE6F1"/>
            <w:tcMar>
              <w:top w:w="80" w:type="dxa"/>
              <w:left w:w="120" w:type="dxa"/>
              <w:bottom w:w="80" w:type="dxa"/>
              <w:right w:w="120" w:type="dxa"/>
            </w:tcMar>
          </w:tcPr>
          <w:p w14:paraId="4CC8BD57" w14:textId="77777777" w:rsidR="00652408" w:rsidRPr="00A2271A" w:rsidRDefault="00652408" w:rsidP="0097037F">
            <w:pPr>
              <w:rPr>
                <w:rFonts w:ascii="Lato" w:hAnsi="Lato"/>
                <w:lang w:val="en-GB"/>
              </w:rPr>
            </w:pPr>
            <w:r w:rsidRPr="00A2271A">
              <w:rPr>
                <w:rFonts w:ascii="Lato" w:hAnsi="Lato"/>
                <w:b/>
                <w:bCs/>
                <w:sz w:val="20"/>
                <w:szCs w:val="20"/>
                <w:lang w:val="en-GB"/>
              </w:rPr>
              <w:t>Expected Duration</w:t>
            </w:r>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1493C9" w14:textId="77777777" w:rsidR="00652408" w:rsidRPr="00A2271A" w:rsidRDefault="00652408" w:rsidP="0097037F">
            <w:pPr>
              <w:rPr>
                <w:rFonts w:ascii="Lato" w:hAnsi="Lato"/>
                <w:lang w:val="en-GB"/>
              </w:rPr>
            </w:pPr>
            <w:r w:rsidRPr="00A2271A">
              <w:rPr>
                <w:rFonts w:ascii="Lato" w:hAnsi="Lato"/>
                <w:sz w:val="20"/>
                <w:szCs w:val="20"/>
                <w:lang w:val="en-GB"/>
              </w:rPr>
              <w:t>Approximately 6–8 months</w:t>
            </w:r>
          </w:p>
        </w:tc>
      </w:tr>
    </w:tbl>
    <w:p w14:paraId="77A985AA" w14:textId="77777777" w:rsidR="00652408" w:rsidRPr="00A2271A" w:rsidRDefault="00652408" w:rsidP="00652408">
      <w:pPr>
        <w:spacing w:before="60" w:after="60"/>
        <w:rPr>
          <w:rFonts w:ascii="Lato" w:hAnsi="Lato"/>
          <w:lang w:val="en-GB"/>
        </w:rPr>
      </w:pPr>
    </w:p>
    <w:p w14:paraId="3D79BDB3" w14:textId="77777777" w:rsidR="00652408" w:rsidRPr="00A2271A" w:rsidRDefault="00652408" w:rsidP="00652408">
      <w:pPr>
        <w:pStyle w:val="Heading1"/>
        <w:pBdr>
          <w:bottom w:val="single" w:sz="6" w:space="4" w:color="1F5C99"/>
        </w:pBdr>
        <w:rPr>
          <w:rFonts w:ascii="Lato" w:hAnsi="Lato"/>
          <w:lang w:val="en-GB"/>
        </w:rPr>
      </w:pPr>
      <w:r w:rsidRPr="00A2271A">
        <w:rPr>
          <w:rFonts w:ascii="Lato" w:eastAsia="Arial" w:hAnsi="Lato" w:cs="Arial"/>
          <w:b/>
          <w:bCs/>
          <w:color w:val="1F5C99"/>
          <w:sz w:val="28"/>
          <w:szCs w:val="28"/>
          <w:lang w:val="en-GB"/>
        </w:rPr>
        <w:t>1. Background and Context</w:t>
      </w:r>
    </w:p>
    <w:p w14:paraId="026F4815" w14:textId="77777777" w:rsidR="00652408" w:rsidRPr="00A2271A" w:rsidRDefault="00652408" w:rsidP="00652408">
      <w:pPr>
        <w:spacing w:before="80" w:after="80"/>
        <w:jc w:val="both"/>
        <w:rPr>
          <w:rFonts w:ascii="Lato" w:hAnsi="Lato"/>
          <w:lang w:val="en-GB"/>
        </w:rPr>
      </w:pPr>
      <w:r w:rsidRPr="00A2271A">
        <w:rPr>
          <w:rFonts w:ascii="Lato" w:hAnsi="Lato"/>
          <w:lang w:val="en-GB"/>
        </w:rPr>
        <w:t>Somaliland, through its National Education Policy (SLNEP 2015–2030), envisions education as the principal means of preparing all learners to become life-long learners equipped with the skills, knowledge and attitudes necessary to be productive citizens. This vision is anchored in the Government of Somaliland’s Vision 2030, which aims for “a nation whose citizens enjoy equitable and quality education.”</w:t>
      </w:r>
    </w:p>
    <w:p w14:paraId="022D0F1F" w14:textId="77777777" w:rsidR="00652408" w:rsidRPr="00A2271A" w:rsidRDefault="00652408" w:rsidP="00652408">
      <w:pPr>
        <w:spacing w:before="60" w:after="60"/>
        <w:rPr>
          <w:rFonts w:ascii="Lato" w:hAnsi="Lato"/>
          <w:lang w:val="en-GB"/>
        </w:rPr>
      </w:pPr>
    </w:p>
    <w:p w14:paraId="15A9C24D" w14:textId="77777777" w:rsidR="00652408" w:rsidRPr="00A2271A" w:rsidRDefault="00652408" w:rsidP="00652408">
      <w:pPr>
        <w:spacing w:before="80" w:after="80"/>
        <w:jc w:val="both"/>
        <w:rPr>
          <w:rFonts w:ascii="Lato" w:hAnsi="Lato"/>
          <w:lang w:val="en-GB"/>
        </w:rPr>
      </w:pPr>
      <w:r w:rsidRPr="00A2271A">
        <w:rPr>
          <w:rFonts w:ascii="Lato" w:hAnsi="Lato"/>
          <w:lang w:val="en-GB"/>
        </w:rPr>
        <w:t>Somaliland has developed and implemented three successive Education Sector Strategic Plans since 2012, supported by the Global Partnership for Education (GPE). The first ESSP covered 2012–2016, the second 2017–2021, and the current — and third — ESSP covers 2022–2026.</w:t>
      </w:r>
    </w:p>
    <w:p w14:paraId="2C8FCAA0" w14:textId="77777777" w:rsidR="00652408" w:rsidRPr="00A2271A" w:rsidRDefault="00652408" w:rsidP="00652408">
      <w:pPr>
        <w:spacing w:before="60" w:after="60"/>
        <w:rPr>
          <w:rFonts w:ascii="Lato" w:hAnsi="Lato"/>
          <w:lang w:val="en-GB"/>
        </w:rPr>
      </w:pPr>
    </w:p>
    <w:p w14:paraId="235D395B" w14:textId="77777777" w:rsidR="00652408" w:rsidRPr="00A2271A" w:rsidRDefault="00652408" w:rsidP="00652408">
      <w:pPr>
        <w:spacing w:before="80" w:after="80"/>
        <w:jc w:val="both"/>
        <w:rPr>
          <w:rFonts w:ascii="Lato" w:hAnsi="Lato"/>
          <w:lang w:val="en-GB"/>
        </w:rPr>
      </w:pPr>
      <w:r w:rsidRPr="00A2271A">
        <w:rPr>
          <w:rFonts w:ascii="Lato" w:hAnsi="Lato"/>
          <w:lang w:val="en-GB"/>
        </w:rPr>
        <w:t>The ESSP 2022–2026 was developed on the basis of the Education Sector Analysis (ESA 2021) and is structured around six overarching policy priority objectives:</w:t>
      </w:r>
    </w:p>
    <w:p w14:paraId="4A6E2888"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Increase funding for effective implementation of the education sector strategic plan;</w:t>
      </w:r>
    </w:p>
    <w:p w14:paraId="7F15C664"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Increase education access and participation at all levels;</w:t>
      </w:r>
    </w:p>
    <w:p w14:paraId="0168D422"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Increase education equity and inclusion at all levels;</w:t>
      </w:r>
    </w:p>
    <w:p w14:paraId="2D9EBBBF"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lastRenderedPageBreak/>
        <w:t>Increase education quality at all levels;</w:t>
      </w:r>
    </w:p>
    <w:p w14:paraId="3D956C59"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Improve governance, management and leadership of education at all levels;</w:t>
      </w:r>
    </w:p>
    <w:p w14:paraId="286A6F22"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Improve education system capacity (organisational, institutional and staff competencies).</w:t>
      </w:r>
    </w:p>
    <w:p w14:paraId="16363097" w14:textId="77777777" w:rsidR="00652408" w:rsidRPr="00A2271A" w:rsidRDefault="00652408" w:rsidP="00652408">
      <w:pPr>
        <w:spacing w:before="60" w:after="60"/>
        <w:rPr>
          <w:rFonts w:ascii="Lato" w:hAnsi="Lato"/>
          <w:lang w:val="en-GB"/>
        </w:rPr>
      </w:pPr>
    </w:p>
    <w:p w14:paraId="37F2BE0A" w14:textId="77777777" w:rsidR="00652408" w:rsidRPr="00A2271A" w:rsidRDefault="00652408" w:rsidP="00652408">
      <w:pPr>
        <w:spacing w:before="80" w:after="80"/>
        <w:jc w:val="both"/>
        <w:rPr>
          <w:rFonts w:ascii="Lato" w:hAnsi="Lato"/>
          <w:lang w:val="en-GB"/>
        </w:rPr>
      </w:pPr>
      <w:r w:rsidRPr="00A2271A">
        <w:rPr>
          <w:rFonts w:ascii="Lato" w:hAnsi="Lato"/>
          <w:lang w:val="en-GB"/>
        </w:rPr>
        <w:t xml:space="preserve">The ESSP 2022–2026 implementation period will conclude on 31 December 2026. In preparation for the next strategic cycle, the </w:t>
      </w:r>
      <w:proofErr w:type="spellStart"/>
      <w:r w:rsidRPr="00A2271A">
        <w:rPr>
          <w:rFonts w:ascii="Lato" w:hAnsi="Lato"/>
          <w:lang w:val="en-GB"/>
        </w:rPr>
        <w:t>MoES</w:t>
      </w:r>
      <w:proofErr w:type="spellEnd"/>
      <w:r w:rsidRPr="00A2271A">
        <w:rPr>
          <w:rFonts w:ascii="Lato" w:hAnsi="Lato"/>
          <w:lang w:val="en-GB"/>
        </w:rPr>
        <w:t xml:space="preserve"> — with the support of GPE and education development partners — is commissioning a comprehensive Education Sector Analysis (ESA 2026) and the subsequent development of the fourth Education Sector Strategic Plan (ESSP 2027–2031), alongside a costed three-year action plan (2027–2029).</w:t>
      </w:r>
    </w:p>
    <w:p w14:paraId="76714D69" w14:textId="77777777" w:rsidR="00652408" w:rsidRPr="00A2271A" w:rsidRDefault="00652408" w:rsidP="00652408">
      <w:pPr>
        <w:spacing w:before="60" w:after="60"/>
        <w:rPr>
          <w:rFonts w:ascii="Lato" w:hAnsi="Lato"/>
          <w:lang w:val="en-GB"/>
        </w:rPr>
      </w:pPr>
    </w:p>
    <w:p w14:paraId="73B3B5CB" w14:textId="77777777" w:rsidR="00652408" w:rsidRPr="00A2271A" w:rsidRDefault="00652408" w:rsidP="00652408">
      <w:pPr>
        <w:spacing w:before="80" w:after="80"/>
        <w:jc w:val="both"/>
        <w:rPr>
          <w:rFonts w:ascii="Lato" w:hAnsi="Lato"/>
          <w:lang w:val="en-GB"/>
        </w:rPr>
      </w:pPr>
      <w:r w:rsidRPr="00A2271A">
        <w:rPr>
          <w:rFonts w:ascii="Lato" w:hAnsi="Lato"/>
          <w:lang w:val="en-GB"/>
        </w:rPr>
        <w:t xml:space="preserve">This Terms of Reference (TOR) provides the framework for engaging qualified consultants to lead this process in close partnership with the </w:t>
      </w:r>
      <w:proofErr w:type="spellStart"/>
      <w:r w:rsidRPr="00A2271A">
        <w:rPr>
          <w:rFonts w:ascii="Lato" w:hAnsi="Lato"/>
          <w:lang w:val="en-GB"/>
        </w:rPr>
        <w:t>MoES</w:t>
      </w:r>
      <w:proofErr w:type="spellEnd"/>
      <w:r w:rsidRPr="00A2271A">
        <w:rPr>
          <w:rFonts w:ascii="Lato" w:hAnsi="Lato"/>
          <w:lang w:val="en-GB"/>
        </w:rPr>
        <w:t>, the Education Sector Committee (ESC), and all relevant education stakeholders.</w:t>
      </w:r>
    </w:p>
    <w:p w14:paraId="5052284D" w14:textId="77777777" w:rsidR="00652408" w:rsidRPr="00A2271A" w:rsidRDefault="00652408" w:rsidP="00652408">
      <w:pPr>
        <w:pStyle w:val="Heading2"/>
        <w:rPr>
          <w:rFonts w:ascii="Lato" w:hAnsi="Lato"/>
          <w:lang w:val="en-GB"/>
        </w:rPr>
      </w:pPr>
      <w:r w:rsidRPr="00A2271A">
        <w:rPr>
          <w:rFonts w:ascii="Lato" w:eastAsia="Arial" w:hAnsi="Lato" w:cs="Arial"/>
          <w:b/>
          <w:bCs/>
          <w:color w:val="2E75B6"/>
          <w:sz w:val="24"/>
          <w:szCs w:val="24"/>
          <w:lang w:val="en-GB"/>
        </w:rPr>
        <w:t>1.1 Achievements and Remaining Challenges from ESSP 2022–2026</w:t>
      </w:r>
    </w:p>
    <w:p w14:paraId="7AE1000A" w14:textId="77777777" w:rsidR="00652408" w:rsidRPr="00A2271A" w:rsidRDefault="00652408" w:rsidP="00652408">
      <w:pPr>
        <w:spacing w:before="80" w:after="80"/>
        <w:jc w:val="both"/>
        <w:rPr>
          <w:rFonts w:ascii="Lato" w:hAnsi="Lato"/>
          <w:lang w:val="en-GB"/>
        </w:rPr>
      </w:pPr>
      <w:r w:rsidRPr="00A2271A">
        <w:rPr>
          <w:rFonts w:ascii="Lato" w:hAnsi="Lato"/>
          <w:lang w:val="en-GB"/>
        </w:rPr>
        <w:t>Key progress made under ESSP 2022–2026 that must be consolidated and built upon includes:</w:t>
      </w:r>
    </w:p>
    <w:p w14:paraId="24CB7951"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 xml:space="preserve">Increase in primary Gross Enrolment Rate from 42% toward the 50% target in the ESSP (2022 – 2026). </w:t>
      </w:r>
    </w:p>
    <w:p w14:paraId="2CF9F1AB"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Growth in the number of qualified teachers from 55% toward the 78% target;</w:t>
      </w:r>
    </w:p>
    <w:p w14:paraId="0BB8ED6A"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Expansion of pre-primary education, particularly in urban areas;</w:t>
      </w:r>
    </w:p>
    <w:p w14:paraId="5078A923"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Strengthening of EMIS data systems and the Somaliland National Examination Board (SLNEB);</w:t>
      </w:r>
    </w:p>
    <w:p w14:paraId="3FFD954E"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 xml:space="preserve">Improved Education in Emergencies (EiE) response mechanisms developing robust response plan and coordinating its implementation with partners on regular basis through EiE Working Group and ESC. </w:t>
      </w:r>
    </w:p>
    <w:p w14:paraId="7E55B942"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Development of the ESSP Monitoring and Evaluation Framework with national and regional coordination units.</w:t>
      </w:r>
    </w:p>
    <w:p w14:paraId="39B116B5" w14:textId="77777777" w:rsidR="00652408" w:rsidRPr="00A2271A" w:rsidRDefault="00652408" w:rsidP="00652408">
      <w:pPr>
        <w:spacing w:before="60" w:after="60"/>
        <w:rPr>
          <w:rFonts w:ascii="Lato" w:hAnsi="Lato"/>
          <w:lang w:val="en-GB"/>
        </w:rPr>
      </w:pPr>
    </w:p>
    <w:p w14:paraId="59C0EFCD" w14:textId="77777777" w:rsidR="00652408" w:rsidRPr="00A2271A" w:rsidRDefault="00652408" w:rsidP="00652408">
      <w:pPr>
        <w:spacing w:before="80" w:after="80"/>
        <w:jc w:val="both"/>
        <w:rPr>
          <w:rFonts w:ascii="Lato" w:hAnsi="Lato"/>
          <w:lang w:val="en-GB"/>
        </w:rPr>
      </w:pPr>
      <w:r w:rsidRPr="00A2271A">
        <w:rPr>
          <w:rFonts w:ascii="Lato" w:hAnsi="Lato"/>
          <w:lang w:val="en-GB"/>
        </w:rPr>
        <w:t>Significant structural challenges remain that the new ESSP must address, including:</w:t>
      </w:r>
    </w:p>
    <w:p w14:paraId="59BC6157"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 xml:space="preserve">High out-of-school rates: approximately 68% of primary-age and 82% of secondary-age children remain out of school; critical review will be required to address the root causes. </w:t>
      </w:r>
    </w:p>
    <w:p w14:paraId="2AEF2697"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Acute urban–rural disparities in enrolment, transition, completion and quality and resource distribution;</w:t>
      </w:r>
    </w:p>
    <w:p w14:paraId="33A83C7B"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Gender gaps across all levels — particularly at secondary and higher education;</w:t>
      </w:r>
    </w:p>
    <w:p w14:paraId="58251B6A"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Limited access for children with disabilities, nomadic populations, IDPs and other marginalised groups;</w:t>
      </w:r>
    </w:p>
    <w:p w14:paraId="22999E75"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Chronic underfunding: education budget share remains below the international benchmark of 15–20% of government expenditure;</w:t>
      </w:r>
    </w:p>
    <w:p w14:paraId="7A60A606"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Fragile teacher workforce with low qualification rates, motivation and retention particularly female teachers in rural areas;</w:t>
      </w:r>
    </w:p>
    <w:p w14:paraId="68CE24DF"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Recurring climate shocks (droughts, cyclones) as we`ll as conflict and health emergencies disrupting schooling;</w:t>
      </w:r>
    </w:p>
    <w:p w14:paraId="4769600B"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lastRenderedPageBreak/>
        <w:t>Limited system capacity in curriculum, quality assurance, teacher trainings, school leadership  and financial management.</w:t>
      </w:r>
    </w:p>
    <w:p w14:paraId="30966874" w14:textId="77777777" w:rsidR="00652408" w:rsidRPr="00A2271A" w:rsidRDefault="00652408" w:rsidP="00652408">
      <w:pPr>
        <w:pStyle w:val="Heading2"/>
        <w:rPr>
          <w:rFonts w:ascii="Lato" w:hAnsi="Lato"/>
          <w:lang w:val="en-GB"/>
        </w:rPr>
      </w:pPr>
      <w:r w:rsidRPr="00A2271A">
        <w:rPr>
          <w:rFonts w:ascii="Lato" w:eastAsia="Arial" w:hAnsi="Lato" w:cs="Arial"/>
          <w:b/>
          <w:bCs/>
          <w:color w:val="2E75B6"/>
          <w:sz w:val="24"/>
          <w:szCs w:val="24"/>
          <w:lang w:val="en-GB"/>
        </w:rPr>
        <w:t>1.2 Policy and Strategic Framework</w:t>
      </w:r>
    </w:p>
    <w:p w14:paraId="1531F78B" w14:textId="77777777" w:rsidR="00652408" w:rsidRPr="00A2271A" w:rsidRDefault="00652408" w:rsidP="00652408">
      <w:pPr>
        <w:spacing w:before="80" w:after="80"/>
        <w:jc w:val="both"/>
        <w:rPr>
          <w:rFonts w:ascii="Lato" w:hAnsi="Lato"/>
          <w:lang w:val="en-GB"/>
        </w:rPr>
      </w:pPr>
      <w:r w:rsidRPr="00A2271A">
        <w:rPr>
          <w:rFonts w:ascii="Lato" w:hAnsi="Lato"/>
          <w:lang w:val="en-GB"/>
        </w:rPr>
        <w:t>The ESA 2026 and ESSP 2027–2031 must be aligned with and responsive to the following national and international policy frameworks:</w:t>
      </w:r>
    </w:p>
    <w:p w14:paraId="38F25B53"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Somaliland National Education Policy (SLNEP 2025–2034);</w:t>
      </w:r>
    </w:p>
    <w:p w14:paraId="44A65219"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Somaliland National Development Plan (NDP III) and Vision 2030;</w:t>
      </w:r>
    </w:p>
    <w:p w14:paraId="3BA865D8"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Somaliland Education Act (XEER LR.77/2018);</w:t>
      </w:r>
    </w:p>
    <w:p w14:paraId="4657E45D"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Somaliland GPE Compact Partnership 2024 - 2030</w:t>
      </w:r>
    </w:p>
    <w:p w14:paraId="34E095E8"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 xml:space="preserve">Relevant sub-sector policies: Teacher Education Policy (2018), TVET Policy (2019), Inclusive Education Policy (2020), ECE Policy, Pre-Primary Education Policy (2020), NFE Policy, Gender Policy, Curriculum Policy Framework (2015); from outcome based to competency-based reform agenda </w:t>
      </w:r>
    </w:p>
    <w:p w14:paraId="26E3C21F"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UN Sustainable Development Goal 4 (SDG 4) — inclusive and quality education for all;</w:t>
      </w:r>
    </w:p>
    <w:p w14:paraId="0A9AD4C4"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GPE System Transformation Grant frameworks and requirements;</w:t>
      </w:r>
    </w:p>
    <w:p w14:paraId="70E10AD6"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African Charter on the Rights and Welfare of the Child and other relevant international conventions.</w:t>
      </w:r>
    </w:p>
    <w:p w14:paraId="0469B752"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Continental Education Strategy for Africa (2025-2036) and UNESCO ESA Methodological Guidelines</w:t>
      </w:r>
    </w:p>
    <w:p w14:paraId="66AA76C4" w14:textId="77777777" w:rsidR="00652408" w:rsidRPr="00A2271A" w:rsidRDefault="00652408" w:rsidP="00652408">
      <w:pPr>
        <w:pStyle w:val="ListParagraph"/>
        <w:spacing w:before="60" w:after="60"/>
        <w:contextualSpacing w:val="0"/>
        <w:rPr>
          <w:rFonts w:ascii="Lato" w:hAnsi="Lato"/>
        </w:rPr>
      </w:pPr>
    </w:p>
    <w:p w14:paraId="349B1CF6" w14:textId="77777777" w:rsidR="00652408" w:rsidRPr="00A2271A" w:rsidRDefault="00652408" w:rsidP="00652408">
      <w:pPr>
        <w:spacing w:before="60" w:after="60"/>
        <w:rPr>
          <w:rFonts w:ascii="Lato" w:hAnsi="Lato"/>
          <w:lang w:val="en-GB"/>
        </w:rPr>
      </w:pPr>
    </w:p>
    <w:p w14:paraId="3DB2E874" w14:textId="77777777" w:rsidR="00652408" w:rsidRPr="00A2271A" w:rsidRDefault="00652408" w:rsidP="00652408">
      <w:pPr>
        <w:pStyle w:val="Heading1"/>
        <w:pBdr>
          <w:bottom w:val="single" w:sz="6" w:space="4" w:color="1F5C99"/>
        </w:pBdr>
        <w:rPr>
          <w:rFonts w:ascii="Lato" w:hAnsi="Lato"/>
          <w:lang w:val="en-GB"/>
        </w:rPr>
      </w:pPr>
      <w:r w:rsidRPr="00A2271A">
        <w:rPr>
          <w:rFonts w:ascii="Lato" w:eastAsia="Arial" w:hAnsi="Lato" w:cs="Arial"/>
          <w:b/>
          <w:bCs/>
          <w:color w:val="1F5C99"/>
          <w:sz w:val="28"/>
          <w:szCs w:val="28"/>
          <w:lang w:val="en-GB"/>
        </w:rPr>
        <w:t>2. Objectives, Purpose and Scope of Work</w:t>
      </w:r>
    </w:p>
    <w:p w14:paraId="138C70E0" w14:textId="77777777" w:rsidR="00652408" w:rsidRPr="00A2271A" w:rsidRDefault="00652408" w:rsidP="00652408">
      <w:pPr>
        <w:pStyle w:val="Heading2"/>
        <w:rPr>
          <w:rFonts w:ascii="Lato" w:hAnsi="Lato"/>
          <w:lang w:val="en-GB"/>
        </w:rPr>
      </w:pPr>
      <w:r w:rsidRPr="00A2271A">
        <w:rPr>
          <w:rFonts w:ascii="Lato" w:eastAsia="Arial" w:hAnsi="Lato" w:cs="Arial"/>
          <w:b/>
          <w:bCs/>
          <w:color w:val="2E75B6"/>
          <w:sz w:val="24"/>
          <w:szCs w:val="24"/>
          <w:lang w:val="en-GB"/>
        </w:rPr>
        <w:t>2.1 Overall Objective</w:t>
      </w:r>
    </w:p>
    <w:p w14:paraId="0DD306D6" w14:textId="77777777" w:rsidR="00652408" w:rsidRPr="00A2271A" w:rsidRDefault="00652408" w:rsidP="00652408">
      <w:pPr>
        <w:spacing w:before="80" w:after="80"/>
        <w:jc w:val="both"/>
        <w:rPr>
          <w:rFonts w:ascii="Lato" w:hAnsi="Lato"/>
          <w:lang w:val="en-GB"/>
        </w:rPr>
      </w:pPr>
      <w:r w:rsidRPr="00A2271A">
        <w:rPr>
          <w:rFonts w:ascii="Lato" w:hAnsi="Lato"/>
          <w:lang w:val="en-GB"/>
        </w:rPr>
        <w:t>The overall objective of this consultancy is to strengthen education sector performance in Somaliland by supporting the Ministry of Education and Science (</w:t>
      </w:r>
      <w:proofErr w:type="spellStart"/>
      <w:r w:rsidRPr="00A2271A">
        <w:rPr>
          <w:rFonts w:ascii="Lato" w:hAnsi="Lato"/>
          <w:lang w:val="en-GB"/>
        </w:rPr>
        <w:t>MoES</w:t>
      </w:r>
      <w:proofErr w:type="spellEnd"/>
      <w:r w:rsidRPr="00A2271A">
        <w:rPr>
          <w:rFonts w:ascii="Lato" w:hAnsi="Lato"/>
          <w:lang w:val="en-GB"/>
        </w:rPr>
        <w:t>) to lead and coordinate:</w:t>
      </w:r>
    </w:p>
    <w:p w14:paraId="73BA01D3"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A comprehensive Education Sector Analysis (ESA 2026) that rigorously assesses progress under the ESSP 2022–2026, identifies persistent and emerging challenges, and generates an updated evidence base for strategic planning;</w:t>
      </w:r>
    </w:p>
    <w:p w14:paraId="41E503CC"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The development of a fifth Education Sector Strategic Plan (ESSP 2027–2031), including a detailed three-year costed action plan (2027–2029), guided by the findings of the ESA 2026.</w:t>
      </w:r>
    </w:p>
    <w:p w14:paraId="09CF849A" w14:textId="77777777" w:rsidR="00652408" w:rsidRPr="00A2271A" w:rsidRDefault="00652408" w:rsidP="00652408">
      <w:pPr>
        <w:pStyle w:val="Heading2"/>
        <w:rPr>
          <w:rFonts w:ascii="Lato" w:hAnsi="Lato"/>
          <w:lang w:val="en-GB"/>
        </w:rPr>
      </w:pPr>
      <w:r w:rsidRPr="00A2271A">
        <w:rPr>
          <w:rFonts w:ascii="Lato" w:eastAsia="Arial" w:hAnsi="Lato" w:cs="Arial"/>
          <w:b/>
          <w:bCs/>
          <w:color w:val="2E75B6"/>
          <w:sz w:val="24"/>
          <w:szCs w:val="24"/>
          <w:lang w:val="en-GB"/>
        </w:rPr>
        <w:t>2.2 Specific Purposes</w:t>
      </w:r>
    </w:p>
    <w:p w14:paraId="791EB31A" w14:textId="77777777" w:rsidR="00652408" w:rsidRPr="00A2271A" w:rsidRDefault="00652408" w:rsidP="00652408">
      <w:pPr>
        <w:spacing w:before="80" w:after="80"/>
        <w:jc w:val="both"/>
        <w:rPr>
          <w:rFonts w:ascii="Lato" w:hAnsi="Lato"/>
          <w:lang w:val="en-GB"/>
        </w:rPr>
      </w:pPr>
      <w:r w:rsidRPr="00A2271A">
        <w:rPr>
          <w:rFonts w:ascii="Lato" w:hAnsi="Lato"/>
          <w:lang w:val="en-GB"/>
        </w:rPr>
        <w:t>The specific purposes of this consultancy are to:</w:t>
      </w:r>
    </w:p>
    <w:p w14:paraId="29C9DE43"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Produce a high-quality, evidence-based ESA 2026 that provides a comprehensive and analytical picture of the education sector, covering access, equity, quality, governance and financing;</w:t>
      </w:r>
    </w:p>
    <w:p w14:paraId="406086E2"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Apply a systems-based analytical framework, including root-cause analysis, bottleneck analysis, equity analysis and political economy analysis, to identify the underlying constraints affecting education sector performance and reform implementation;</w:t>
      </w:r>
    </w:p>
    <w:p w14:paraId="52235E13"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lastRenderedPageBreak/>
        <w:t>Conduct a rigorous end-of-cycle assessment of ESSP 2022–2026 implementation, identifying achievements, gaps, lessons learned and recommendations;</w:t>
      </w:r>
    </w:p>
    <w:p w14:paraId="31DCCDCE"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Develop a realistic, costed and stakeholder-validated ESSP 2027–2031 that addresses the structural challenges identified in the ESA 2026, aligned with Vision 2030 and SDG 4;</w:t>
      </w:r>
    </w:p>
    <w:p w14:paraId="7ED01593"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 xml:space="preserve">Build the institutional capacity of the </w:t>
      </w:r>
      <w:proofErr w:type="spellStart"/>
      <w:r w:rsidRPr="00A2271A">
        <w:rPr>
          <w:rFonts w:ascii="Lato" w:hAnsi="Lato"/>
        </w:rPr>
        <w:t>MoES</w:t>
      </w:r>
      <w:proofErr w:type="spellEnd"/>
      <w:r w:rsidRPr="00A2271A">
        <w:rPr>
          <w:rFonts w:ascii="Lato" w:hAnsi="Lato"/>
        </w:rPr>
        <w:t xml:space="preserve"> Policy and Planning Directorate and relevant Technical Working Groups (TWGs) to undertake and sustain sector analysis and strategic planning processes;</w:t>
      </w:r>
    </w:p>
    <w:p w14:paraId="0FD89C05"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Ensure an inclusive, participatory and locally-owned process that reflects the priorities and perspectives of diverse stakeholders, including marginalised communities.</w:t>
      </w:r>
    </w:p>
    <w:p w14:paraId="03E629C9" w14:textId="77777777" w:rsidR="00652408" w:rsidRPr="00A2271A" w:rsidRDefault="00652408" w:rsidP="00652408">
      <w:pPr>
        <w:pStyle w:val="Heading2"/>
        <w:rPr>
          <w:rFonts w:ascii="Lato" w:hAnsi="Lato"/>
          <w:lang w:val="en-GB"/>
        </w:rPr>
      </w:pPr>
      <w:r w:rsidRPr="00A2271A">
        <w:rPr>
          <w:rFonts w:ascii="Lato" w:eastAsia="Arial" w:hAnsi="Lato" w:cs="Arial"/>
          <w:b/>
          <w:bCs/>
          <w:color w:val="2E75B6"/>
          <w:sz w:val="24"/>
          <w:szCs w:val="24"/>
          <w:lang w:val="en-GB"/>
        </w:rPr>
        <w:t>2.3 Scope of Work</w:t>
      </w:r>
    </w:p>
    <w:p w14:paraId="2FDDBFD0" w14:textId="77777777" w:rsidR="00652408" w:rsidRPr="00A2271A" w:rsidRDefault="00652408" w:rsidP="00652408">
      <w:pPr>
        <w:spacing w:before="80" w:after="80"/>
        <w:jc w:val="both"/>
        <w:rPr>
          <w:rFonts w:ascii="Lato" w:hAnsi="Lato"/>
          <w:lang w:val="en-GB"/>
        </w:rPr>
      </w:pPr>
      <w:r w:rsidRPr="00A2271A">
        <w:rPr>
          <w:rFonts w:ascii="Lato" w:hAnsi="Lato"/>
          <w:lang w:val="en-GB"/>
        </w:rPr>
        <w:t>The consultancy comprises four inter-related components:</w:t>
      </w:r>
    </w:p>
    <w:p w14:paraId="69146674" w14:textId="77777777" w:rsidR="00652408" w:rsidRPr="00A2271A" w:rsidRDefault="00652408" w:rsidP="00652408">
      <w:pPr>
        <w:pStyle w:val="Heading3"/>
        <w:rPr>
          <w:rFonts w:ascii="Lato" w:hAnsi="Lato"/>
          <w:lang w:val="en-GB"/>
        </w:rPr>
      </w:pPr>
      <w:r w:rsidRPr="00A2271A">
        <w:rPr>
          <w:rFonts w:ascii="Lato" w:eastAsia="Arial" w:hAnsi="Lato" w:cs="Arial"/>
          <w:b/>
          <w:bCs/>
          <w:color w:val="1F5C99"/>
          <w:sz w:val="22"/>
          <w:szCs w:val="22"/>
          <w:lang w:val="en-GB"/>
        </w:rPr>
        <w:t>Component A: Education Sector Analysis (ESA 2026)</w:t>
      </w:r>
    </w:p>
    <w:p w14:paraId="4EAB4C74" w14:textId="77777777" w:rsidR="00652408" w:rsidRPr="00A2271A" w:rsidRDefault="00652408" w:rsidP="00652408">
      <w:pPr>
        <w:pStyle w:val="Heading3"/>
        <w:rPr>
          <w:rFonts w:ascii="Lato" w:hAnsi="Lato"/>
          <w:lang w:val="en-GB"/>
        </w:rPr>
      </w:pPr>
      <w:r w:rsidRPr="00A2271A">
        <w:rPr>
          <w:rFonts w:ascii="Lato" w:eastAsia="Arial" w:hAnsi="Lato" w:cs="Arial"/>
          <w:b/>
          <w:bCs/>
          <w:color w:val="1F5C99"/>
          <w:sz w:val="22"/>
          <w:szCs w:val="22"/>
          <w:lang w:val="en-GB"/>
        </w:rPr>
        <w:t>Component B: End-of-Cycle Assessment of ESSP 2022–2026</w:t>
      </w:r>
    </w:p>
    <w:p w14:paraId="1CA0CF97" w14:textId="77777777" w:rsidR="00652408" w:rsidRPr="00A2271A" w:rsidRDefault="00652408" w:rsidP="00652408">
      <w:pPr>
        <w:pStyle w:val="Heading3"/>
        <w:rPr>
          <w:rFonts w:ascii="Lato" w:hAnsi="Lato"/>
          <w:lang w:val="en-GB"/>
        </w:rPr>
      </w:pPr>
      <w:r w:rsidRPr="00A2271A">
        <w:rPr>
          <w:rFonts w:ascii="Lato" w:eastAsia="Arial" w:hAnsi="Lato" w:cs="Arial"/>
          <w:b/>
          <w:bCs/>
          <w:color w:val="1F5C99"/>
          <w:sz w:val="22"/>
          <w:szCs w:val="22"/>
          <w:lang w:val="en-GB"/>
        </w:rPr>
        <w:t>Component C: Synthesis and Validation</w:t>
      </w:r>
    </w:p>
    <w:p w14:paraId="60489857" w14:textId="77777777" w:rsidR="00652408" w:rsidRPr="00A2271A" w:rsidRDefault="00652408" w:rsidP="00652408">
      <w:pPr>
        <w:pStyle w:val="Heading3"/>
        <w:rPr>
          <w:rFonts w:ascii="Lato" w:hAnsi="Lato"/>
          <w:lang w:val="en-GB"/>
        </w:rPr>
      </w:pPr>
      <w:r w:rsidRPr="00A2271A">
        <w:rPr>
          <w:rFonts w:ascii="Lato" w:eastAsia="Arial" w:hAnsi="Lato" w:cs="Arial"/>
          <w:b/>
          <w:bCs/>
          <w:color w:val="1F5C99"/>
          <w:sz w:val="22"/>
          <w:szCs w:val="22"/>
          <w:lang w:val="en-GB"/>
        </w:rPr>
        <w:t>Component D: Development of ESSP 2027–2031and costed three-year action plan.</w:t>
      </w:r>
    </w:p>
    <w:p w14:paraId="5C091C31" w14:textId="77777777" w:rsidR="00652408" w:rsidRPr="00A2271A" w:rsidRDefault="00652408" w:rsidP="00652408">
      <w:pPr>
        <w:spacing w:before="60" w:after="60"/>
        <w:rPr>
          <w:rFonts w:ascii="Lato" w:hAnsi="Lato"/>
          <w:lang w:val="en-GB"/>
        </w:rPr>
      </w:pPr>
    </w:p>
    <w:p w14:paraId="648B74CA" w14:textId="77777777" w:rsidR="00652408" w:rsidRPr="00A2271A" w:rsidRDefault="00652408" w:rsidP="00652408">
      <w:pPr>
        <w:pStyle w:val="Heading1"/>
        <w:pBdr>
          <w:bottom w:val="single" w:sz="6" w:space="4" w:color="1F5C99"/>
        </w:pBdr>
        <w:rPr>
          <w:rFonts w:ascii="Lato" w:hAnsi="Lato"/>
          <w:lang w:val="en-GB"/>
        </w:rPr>
      </w:pPr>
      <w:r w:rsidRPr="00A2271A">
        <w:rPr>
          <w:rFonts w:ascii="Lato" w:eastAsia="Arial" w:hAnsi="Lato" w:cs="Arial"/>
          <w:b/>
          <w:bCs/>
          <w:color w:val="1F5C99"/>
          <w:sz w:val="28"/>
          <w:szCs w:val="28"/>
          <w:lang w:val="en-GB"/>
        </w:rPr>
        <w:t>3. Detailed Tasks and Activities</w:t>
      </w:r>
    </w:p>
    <w:p w14:paraId="550C664A" w14:textId="77777777" w:rsidR="00652408" w:rsidRPr="00A2271A" w:rsidRDefault="00652408" w:rsidP="00652408">
      <w:pPr>
        <w:pStyle w:val="Heading2"/>
        <w:rPr>
          <w:rFonts w:ascii="Lato" w:hAnsi="Lato"/>
          <w:lang w:val="en-GB"/>
        </w:rPr>
      </w:pPr>
      <w:r w:rsidRPr="00A2271A">
        <w:rPr>
          <w:rFonts w:ascii="Lato" w:eastAsia="Arial" w:hAnsi="Lato" w:cs="Arial"/>
          <w:b/>
          <w:bCs/>
          <w:color w:val="2E75B6"/>
          <w:sz w:val="24"/>
          <w:szCs w:val="24"/>
          <w:lang w:val="en-GB"/>
        </w:rPr>
        <w:t>3.1 Component A: Education Sector Analysis (ESA 2026)</w:t>
      </w:r>
    </w:p>
    <w:p w14:paraId="57BCF6DA" w14:textId="77777777" w:rsidR="00652408" w:rsidRPr="00A2271A" w:rsidRDefault="00652408" w:rsidP="00652408">
      <w:pPr>
        <w:spacing w:before="80" w:after="80"/>
        <w:jc w:val="both"/>
        <w:rPr>
          <w:rFonts w:ascii="Lato" w:hAnsi="Lato"/>
          <w:lang w:val="en-GB"/>
        </w:rPr>
      </w:pPr>
      <w:r w:rsidRPr="00A2271A">
        <w:rPr>
          <w:rFonts w:ascii="Lato" w:hAnsi="Lato"/>
          <w:lang w:val="en-GB"/>
        </w:rPr>
        <w:t xml:space="preserve">The ESA 2026 shall be conducted in accordance with the </w:t>
      </w:r>
      <w:proofErr w:type="spellStart"/>
      <w:r w:rsidRPr="00A2271A">
        <w:rPr>
          <w:rFonts w:ascii="Lato" w:hAnsi="Lato"/>
          <w:lang w:val="en-GB"/>
        </w:rPr>
        <w:t>MoES</w:t>
      </w:r>
      <w:proofErr w:type="spellEnd"/>
      <w:r w:rsidRPr="00A2271A">
        <w:rPr>
          <w:rFonts w:ascii="Lato" w:hAnsi="Lato"/>
          <w:lang w:val="en-GB"/>
        </w:rPr>
        <w:t xml:space="preserve"> and GPE Education Sector Analysis Methodological Guidelines. </w:t>
      </w:r>
      <w:r w:rsidRPr="00A2271A">
        <w:rPr>
          <w:rFonts w:ascii="Lato" w:hAnsi="Lato"/>
        </w:rPr>
        <w:t xml:space="preserve">The analysis shall move beyond descriptive assessment and identify the underlying factors driving sector performance, inequities and implementation challenges </w:t>
      </w:r>
      <w:r w:rsidRPr="00A2271A">
        <w:rPr>
          <w:rFonts w:ascii="Lato" w:hAnsi="Lato"/>
          <w:lang w:val="en-GB"/>
        </w:rPr>
        <w:t>and shall cover the following analytical domains:</w:t>
      </w:r>
    </w:p>
    <w:p w14:paraId="0756FE76" w14:textId="77777777" w:rsidR="00652408" w:rsidRPr="00A2271A" w:rsidRDefault="00652408" w:rsidP="00652408">
      <w:pPr>
        <w:pStyle w:val="Heading3"/>
        <w:rPr>
          <w:rFonts w:ascii="Lato" w:hAnsi="Lato"/>
          <w:lang w:val="en-GB"/>
        </w:rPr>
      </w:pPr>
      <w:r w:rsidRPr="00A2271A">
        <w:rPr>
          <w:rFonts w:ascii="Lato" w:eastAsia="Arial" w:hAnsi="Lato" w:cs="Arial"/>
          <w:b/>
          <w:bCs/>
          <w:color w:val="1F5C99"/>
          <w:sz w:val="22"/>
          <w:szCs w:val="22"/>
          <w:lang w:val="en-GB"/>
        </w:rPr>
        <w:t>3.1.1 Contextual Analysis</w:t>
      </w:r>
    </w:p>
    <w:p w14:paraId="2F6CB29C" w14:textId="77777777" w:rsidR="00652408" w:rsidRPr="00A2271A" w:rsidRDefault="00652408" w:rsidP="00652408">
      <w:pPr>
        <w:spacing w:before="80" w:after="80"/>
        <w:jc w:val="both"/>
        <w:rPr>
          <w:rFonts w:ascii="Lato" w:hAnsi="Lato"/>
          <w:lang w:val="en-GB"/>
        </w:rPr>
      </w:pPr>
      <w:r w:rsidRPr="00A2271A">
        <w:rPr>
          <w:rFonts w:ascii="Lato" w:hAnsi="Lato"/>
          <w:lang w:val="en-GB"/>
        </w:rPr>
        <w:t>Analyse the broader environment affecting education provision in Somaliland, including:</w:t>
      </w:r>
    </w:p>
    <w:p w14:paraId="780CD7EB"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Demographic trends: updated population projections and school-age population estimates by region;</w:t>
      </w:r>
    </w:p>
    <w:p w14:paraId="1FC45CFE"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Socio-economic context: GDP trends, poverty, remittances, household education expenditure;</w:t>
      </w:r>
    </w:p>
    <w:p w14:paraId="4B30313F"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Political and governance context: decentralisation progress, political stability, inter-governmental fiscal transfers;</w:t>
      </w:r>
    </w:p>
    <w:p w14:paraId="12DE27D7"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 xml:space="preserve">Humanitarian context: updated risk profile — droughts, cyclones, displacement, conflict and disease outbreaks. </w:t>
      </w:r>
    </w:p>
    <w:p w14:paraId="6FAB106F"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Climate change impacts on education infrastructure and access, particularly in eastern and coastal regions;</w:t>
      </w:r>
    </w:p>
    <w:p w14:paraId="10A26E69"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Gender and social norms affecting girls’ education, early marriage, and participation of marginalised groups;</w:t>
      </w:r>
    </w:p>
    <w:p w14:paraId="42725DD4"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Labour market dynamics and the relevance of education outputs to economic demand.</w:t>
      </w:r>
    </w:p>
    <w:p w14:paraId="388663E2" w14:textId="77777777" w:rsidR="00652408" w:rsidRPr="00A2271A" w:rsidRDefault="00652408" w:rsidP="00652408">
      <w:pPr>
        <w:pStyle w:val="Heading3"/>
        <w:rPr>
          <w:rFonts w:ascii="Lato" w:hAnsi="Lato"/>
          <w:lang w:val="en-GB"/>
        </w:rPr>
      </w:pPr>
      <w:r w:rsidRPr="00A2271A">
        <w:rPr>
          <w:rFonts w:ascii="Lato" w:eastAsia="Arial" w:hAnsi="Lato" w:cs="Arial"/>
          <w:b/>
          <w:bCs/>
          <w:color w:val="1F5C99"/>
          <w:sz w:val="22"/>
          <w:szCs w:val="22"/>
          <w:lang w:val="en-GB"/>
        </w:rPr>
        <w:lastRenderedPageBreak/>
        <w:t>3.1.2 Analysis of Education System Performance</w:t>
      </w:r>
    </w:p>
    <w:p w14:paraId="16B2B516" w14:textId="77777777" w:rsidR="00652408" w:rsidRPr="00A2271A" w:rsidRDefault="00652408" w:rsidP="00652408">
      <w:pPr>
        <w:spacing w:before="80" w:after="80"/>
        <w:jc w:val="both"/>
        <w:rPr>
          <w:rFonts w:ascii="Lato" w:hAnsi="Lato"/>
          <w:lang w:val="en-GB"/>
        </w:rPr>
      </w:pPr>
      <w:r w:rsidRPr="00A2271A">
        <w:rPr>
          <w:rFonts w:ascii="Lato" w:hAnsi="Lato"/>
          <w:lang w:val="en-GB"/>
        </w:rPr>
        <w:t>Conduct a sub-sector-by-sub-sector analysis covering ECCE, Primary (formal and Alternative Basic Education), Secondary, Non-Formal Education (NFE), TVET, and Higher Education. For each sub-sector, the analysis shall cover:</w:t>
      </w:r>
    </w:p>
    <w:p w14:paraId="60D9DA9E"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Access and participation: GER, NER, enrolment trends by gender, region and school type; out-of-school children rates and profiles;</w:t>
      </w:r>
    </w:p>
    <w:p w14:paraId="20A4C022"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Equity and inclusion: gender parity (GPI), rural–urban disparities, access for children with disabilities, nomadic children, IDPs, and other most vulnerable children (MVC);</w:t>
      </w:r>
    </w:p>
    <w:p w14:paraId="6B6B9EEF"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Internal efficiency: repetition, dropout and completion rates; transition rates between levels;</w:t>
      </w:r>
    </w:p>
    <w:p w14:paraId="1ABD14B6" w14:textId="77777777" w:rsidR="00652408" w:rsidRPr="00A2271A" w:rsidRDefault="00652408">
      <w:pPr>
        <w:pStyle w:val="ListParagraph"/>
        <w:numPr>
          <w:ilvl w:val="0"/>
          <w:numId w:val="6"/>
        </w:numPr>
        <w:spacing w:before="60" w:after="60"/>
        <w:contextualSpacing w:val="0"/>
        <w:jc w:val="both"/>
        <w:rPr>
          <w:rFonts w:ascii="Lato" w:hAnsi="Lato"/>
        </w:rPr>
      </w:pPr>
      <w:r w:rsidRPr="00A2271A">
        <w:rPr>
          <w:rFonts w:ascii="Lato" w:hAnsi="Lato"/>
        </w:rPr>
        <w:t>Learning outcomes and quality: Results of national learning assessments (EGRA, EGMA, and NLA), examination pass rates, pupil–teacher ratios, textbook availability, foundational literacy and numeracy outcomes, learning poverty, curriculum–learning alignment, classroom instructional practices, and the factors influencing learning achievement</w:t>
      </w:r>
    </w:p>
    <w:p w14:paraId="62D05485"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External efficiency: graduate employment rates, TVET tracer studies, employer satisfaction surveys, assessment of skills relevance and alignment between education outputs and labour market linkages (demand-supply trends)</w:t>
      </w:r>
    </w:p>
    <w:p w14:paraId="6D475A50"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Teacher workforce: numbers, deployment, qualification levels, gender distribution, teacher professional development participation rates, attrition.</w:t>
      </w:r>
    </w:p>
    <w:p w14:paraId="6560B3C2" w14:textId="77777777" w:rsidR="00652408" w:rsidRPr="00A2271A" w:rsidRDefault="00652408" w:rsidP="00652408">
      <w:pPr>
        <w:pStyle w:val="Heading3"/>
        <w:rPr>
          <w:rFonts w:ascii="Lato" w:hAnsi="Lato"/>
          <w:lang w:val="en-GB"/>
        </w:rPr>
      </w:pPr>
      <w:r w:rsidRPr="00A2271A">
        <w:rPr>
          <w:rFonts w:ascii="Lato" w:eastAsia="Arial" w:hAnsi="Lato" w:cs="Arial"/>
          <w:b/>
          <w:bCs/>
          <w:color w:val="1F5C99"/>
          <w:sz w:val="22"/>
          <w:szCs w:val="22"/>
          <w:lang w:val="en-GB"/>
        </w:rPr>
        <w:t>3.1.3 Analysis of System Capacity</w:t>
      </w:r>
    </w:p>
    <w:p w14:paraId="49DD0DB1" w14:textId="77777777" w:rsidR="00652408" w:rsidRPr="00A2271A" w:rsidRDefault="00652408" w:rsidP="00652408">
      <w:pPr>
        <w:spacing w:before="80" w:after="80"/>
        <w:jc w:val="both"/>
        <w:rPr>
          <w:rFonts w:ascii="Lato" w:hAnsi="Lato"/>
          <w:lang w:val="en-GB"/>
        </w:rPr>
      </w:pPr>
      <w:r w:rsidRPr="00A2271A">
        <w:rPr>
          <w:rFonts w:ascii="Lato" w:hAnsi="Lato"/>
          <w:lang w:val="en-GB"/>
        </w:rPr>
        <w:t xml:space="preserve">Assess the institutional and human resource capacity of the </w:t>
      </w:r>
      <w:proofErr w:type="spellStart"/>
      <w:r w:rsidRPr="00A2271A">
        <w:rPr>
          <w:rFonts w:ascii="Lato" w:hAnsi="Lato"/>
          <w:lang w:val="en-GB"/>
        </w:rPr>
        <w:t>MoES</w:t>
      </w:r>
      <w:proofErr w:type="spellEnd"/>
      <w:r w:rsidRPr="00A2271A">
        <w:rPr>
          <w:rFonts w:ascii="Lato" w:hAnsi="Lato"/>
          <w:lang w:val="en-GB"/>
        </w:rPr>
        <w:t xml:space="preserve"> and affiliated bodies to plan, manage, finance and deliver quality education, covering:</w:t>
      </w:r>
    </w:p>
    <w:p w14:paraId="40630E93"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Governance, management and accountability: devolution progress, district and regional education management, community engagement through CECs and DEDCs;</w:t>
      </w:r>
    </w:p>
    <w:p w14:paraId="3332FDFC" w14:textId="77777777" w:rsidR="00652408" w:rsidRPr="00A2271A" w:rsidRDefault="00652408">
      <w:pPr>
        <w:pStyle w:val="ListParagraph"/>
        <w:numPr>
          <w:ilvl w:val="0"/>
          <w:numId w:val="6"/>
        </w:numPr>
        <w:spacing w:before="60" w:after="60"/>
        <w:contextualSpacing w:val="0"/>
        <w:jc w:val="both"/>
        <w:rPr>
          <w:rFonts w:ascii="Lato" w:hAnsi="Lato"/>
        </w:rPr>
      </w:pPr>
      <w:r w:rsidRPr="00A2271A">
        <w:rPr>
          <w:rFonts w:ascii="Lato" w:hAnsi="Lato"/>
        </w:rPr>
        <w:t>Policy and planning: functionality of the Policy and Planning Directorate, EMIS data quality, utilization and institutional capacity for evidence-based planning practices and monitoring;</w:t>
      </w:r>
    </w:p>
    <w:p w14:paraId="46468B8E"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Human resource management: staffing norms, deployment, accountability systems, adherence to the HR Policy;</w:t>
      </w:r>
    </w:p>
    <w:p w14:paraId="1B64ACB7"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Financial management and accountability: domestic resource allocation trends, execution rates, Public Financial Management (PFM) systems, audit findings;</w:t>
      </w:r>
    </w:p>
    <w:p w14:paraId="0042B210"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Curriculum: review of curriculum relevance, competency-based curriculum roll-out at basic and TVET levels;</w:t>
      </w:r>
    </w:p>
    <w:p w14:paraId="19B5D187"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 xml:space="preserve">Teacher education: SLNTTC capacity, pre-service and in-service training systems, teacher professional management, teacher licensing and teacher certification; </w:t>
      </w:r>
    </w:p>
    <w:p w14:paraId="6F33E6FB"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 xml:space="preserve">Quality assurance and inspection: QAS systems, school inspection coverage, minimum standards implementation, coaching and mentorships. </w:t>
      </w:r>
    </w:p>
    <w:p w14:paraId="35312992"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National examinations: SLNEB capacity, credibility and reliability of national examinations at grades 8 and 12;</w:t>
      </w:r>
    </w:p>
    <w:p w14:paraId="3A1491CB"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Commission for Higher Education (CHE): accreditation, quality assurance and regulatory capacity;</w:t>
      </w:r>
    </w:p>
    <w:p w14:paraId="4229E4B9"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Education in Emergencies (EiE): contingency planning, EiE cluster functionality, integration of EiE data into EMIS, teacher preparedness.</w:t>
      </w:r>
    </w:p>
    <w:p w14:paraId="5C386E17" w14:textId="77777777" w:rsidR="00652408" w:rsidRPr="00A2271A" w:rsidRDefault="00652408" w:rsidP="00652408">
      <w:pPr>
        <w:pStyle w:val="Heading3"/>
        <w:rPr>
          <w:rFonts w:ascii="Lato" w:hAnsi="Lato"/>
          <w:lang w:val="en-GB"/>
        </w:rPr>
      </w:pPr>
      <w:r w:rsidRPr="00A2271A">
        <w:rPr>
          <w:rFonts w:ascii="Lato" w:eastAsia="Arial" w:hAnsi="Lato" w:cs="Arial"/>
          <w:b/>
          <w:bCs/>
          <w:color w:val="1F5C99"/>
          <w:sz w:val="22"/>
          <w:szCs w:val="22"/>
          <w:lang w:val="en-GB"/>
        </w:rPr>
        <w:lastRenderedPageBreak/>
        <w:t>3.1.4 Analysis of Education Financing</w:t>
      </w:r>
    </w:p>
    <w:p w14:paraId="7BE43CDF" w14:textId="77777777" w:rsidR="00652408" w:rsidRPr="00A2271A" w:rsidRDefault="00652408" w:rsidP="00652408">
      <w:pPr>
        <w:spacing w:before="80" w:after="80"/>
        <w:jc w:val="both"/>
        <w:rPr>
          <w:rFonts w:ascii="Lato" w:hAnsi="Lato"/>
          <w:lang w:val="en-GB"/>
        </w:rPr>
      </w:pPr>
      <w:r w:rsidRPr="00A2271A">
        <w:rPr>
          <w:rFonts w:ascii="Lato" w:hAnsi="Lato"/>
          <w:lang w:val="en-GB"/>
        </w:rPr>
        <w:t>Conduct a comprehensive analysis of education sector financing covering:</w:t>
      </w:r>
    </w:p>
    <w:p w14:paraId="7E003304"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Trends in domestic resource allocation to education as a share of total government expenditure (2022–2026), benchmarked against regional and international standards;</w:t>
      </w:r>
    </w:p>
    <w:p w14:paraId="68B211F8"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Execution rates and distribution of education budget across sub-sectors;</w:t>
      </w:r>
    </w:p>
    <w:p w14:paraId="12683821" w14:textId="77777777" w:rsidR="00652408" w:rsidRPr="00A2271A" w:rsidRDefault="00652408">
      <w:pPr>
        <w:pStyle w:val="ListParagraph"/>
        <w:numPr>
          <w:ilvl w:val="0"/>
          <w:numId w:val="6"/>
        </w:numPr>
        <w:spacing w:before="60" w:after="60"/>
        <w:contextualSpacing w:val="0"/>
        <w:jc w:val="both"/>
        <w:rPr>
          <w:rFonts w:ascii="Lato" w:hAnsi="Lato"/>
        </w:rPr>
      </w:pPr>
      <w:r w:rsidRPr="00A2271A">
        <w:rPr>
          <w:rFonts w:ascii="Lato" w:hAnsi="Lato"/>
        </w:rPr>
        <w:t xml:space="preserve">Analysis of cost drivers and expenditure effectiveness across education sub-sectors; </w:t>
      </w:r>
    </w:p>
    <w:p w14:paraId="433E0615"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Development partner contributions and trends (2022–2026): GPE, UNICEF, FCDO, ECW, JPLG, UNDP, and others;</w:t>
      </w:r>
    </w:p>
    <w:p w14:paraId="3D7C2108"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Community and private sector contributions;</w:t>
      </w:r>
    </w:p>
    <w:p w14:paraId="5E0BFBBB"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Unit cost analysis by sub-sector and school type;</w:t>
      </w:r>
    </w:p>
    <w:p w14:paraId="0CC52E3F"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Equity of resource distribution across regions and sub-sectors;</w:t>
      </w:r>
    </w:p>
    <w:p w14:paraId="038BDD4A" w14:textId="77777777" w:rsidR="00652408" w:rsidRPr="00A2271A" w:rsidRDefault="00652408">
      <w:pPr>
        <w:pStyle w:val="ListParagraph"/>
        <w:numPr>
          <w:ilvl w:val="0"/>
          <w:numId w:val="6"/>
        </w:numPr>
        <w:spacing w:before="60" w:after="60"/>
        <w:contextualSpacing w:val="0"/>
        <w:jc w:val="both"/>
        <w:rPr>
          <w:rFonts w:ascii="Lato" w:hAnsi="Lato"/>
        </w:rPr>
      </w:pPr>
      <w:r w:rsidRPr="00A2271A">
        <w:rPr>
          <w:rFonts w:ascii="Lato" w:hAnsi="Lato"/>
        </w:rPr>
        <w:t>Comparative benchmarking of education financing and expenditure efficiency against regional and international standards;</w:t>
      </w:r>
    </w:p>
    <w:p w14:paraId="27B50E6A"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Fiscal space analysis and projections for 2027–2031.</w:t>
      </w:r>
    </w:p>
    <w:p w14:paraId="67F6CAA1" w14:textId="77777777" w:rsidR="00652408" w:rsidRPr="00A2271A" w:rsidRDefault="00652408" w:rsidP="00652408">
      <w:pPr>
        <w:pStyle w:val="Heading3"/>
        <w:rPr>
          <w:rFonts w:ascii="Lato" w:hAnsi="Lato"/>
          <w:lang w:val="en-GB"/>
        </w:rPr>
      </w:pPr>
      <w:r w:rsidRPr="00A2271A">
        <w:rPr>
          <w:rFonts w:ascii="Lato" w:eastAsia="Arial" w:hAnsi="Lato" w:cs="Arial"/>
          <w:b/>
          <w:bCs/>
          <w:color w:val="1F5C99"/>
          <w:sz w:val="22"/>
          <w:szCs w:val="22"/>
          <w:lang w:val="en-GB"/>
        </w:rPr>
        <w:t>3.1.5 Data Sources and Methods</w:t>
      </w:r>
    </w:p>
    <w:p w14:paraId="01C85F54" w14:textId="77777777" w:rsidR="00652408" w:rsidRPr="00A2271A" w:rsidRDefault="00652408" w:rsidP="00652408">
      <w:pPr>
        <w:spacing w:before="80" w:after="80"/>
        <w:jc w:val="both"/>
        <w:rPr>
          <w:rFonts w:ascii="Lato" w:hAnsi="Lato"/>
          <w:lang w:val="en-GB"/>
        </w:rPr>
      </w:pPr>
      <w:r w:rsidRPr="00A2271A">
        <w:rPr>
          <w:rFonts w:ascii="Lato" w:hAnsi="Lato"/>
          <w:lang w:val="en-GB"/>
        </w:rPr>
        <w:t>The ESA 2026 shall draw upon the following primary data sources:</w:t>
      </w:r>
    </w:p>
    <w:p w14:paraId="7EFDCF03"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EMIS data (2022–2026 school surveys);</w:t>
      </w:r>
    </w:p>
    <w:p w14:paraId="69FB9A74"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National learning assessment reports (EGRA, EGMA, NLA);</w:t>
      </w:r>
    </w:p>
    <w:p w14:paraId="7461485A"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JRES reports (2022, 2023, 2024, 2025);</w:t>
      </w:r>
    </w:p>
    <w:p w14:paraId="53219A55"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 xml:space="preserve">Mid-term Review for the SL GPE Compact Partnership. </w:t>
      </w:r>
    </w:p>
    <w:p w14:paraId="4B2A8F9C"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Government financial reports and executed budget data;</w:t>
      </w:r>
    </w:p>
    <w:p w14:paraId="3AD4409E"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Somaliland Demographic and Health Survey;</w:t>
      </w:r>
    </w:p>
    <w:p w14:paraId="7BBFCB48"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Teacher profile and HR management data;</w:t>
      </w:r>
    </w:p>
    <w:p w14:paraId="07E679DA"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TVET tracer study data;</w:t>
      </w:r>
    </w:p>
    <w:p w14:paraId="2FDD5ADE"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HEIV Impact Study in 2025.</w:t>
      </w:r>
    </w:p>
    <w:p w14:paraId="59F3B2BD"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Population estimates surveys;</w:t>
      </w:r>
    </w:p>
    <w:p w14:paraId="751CF06C"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Development partner reports and evaluations;</w:t>
      </w:r>
    </w:p>
    <w:p w14:paraId="7240516C" w14:textId="77777777" w:rsidR="00652408" w:rsidRPr="00A2271A" w:rsidRDefault="00652408">
      <w:pPr>
        <w:pStyle w:val="ListParagraph"/>
        <w:numPr>
          <w:ilvl w:val="0"/>
          <w:numId w:val="6"/>
        </w:numPr>
        <w:spacing w:before="60" w:after="60"/>
        <w:contextualSpacing w:val="0"/>
        <w:jc w:val="both"/>
        <w:rPr>
          <w:rFonts w:ascii="Lato" w:hAnsi="Lato"/>
        </w:rPr>
      </w:pPr>
      <w:r w:rsidRPr="00A2271A">
        <w:rPr>
          <w:rFonts w:ascii="Lato" w:hAnsi="Lato"/>
        </w:rPr>
        <w:t xml:space="preserve">Key Informant Interviews (KIIs) with </w:t>
      </w:r>
      <w:proofErr w:type="spellStart"/>
      <w:r w:rsidRPr="00A2271A">
        <w:rPr>
          <w:rFonts w:ascii="Lato" w:hAnsi="Lato"/>
        </w:rPr>
        <w:t>MoES</w:t>
      </w:r>
      <w:proofErr w:type="spellEnd"/>
      <w:r w:rsidRPr="00A2271A">
        <w:rPr>
          <w:rFonts w:ascii="Lato" w:hAnsi="Lato"/>
        </w:rPr>
        <w:t xml:space="preserve"> senior officials, regional education officers, development partners, civil society, community leaders; private education providers, employers and labour market stakeholders;</w:t>
      </w:r>
    </w:p>
    <w:p w14:paraId="2880958C" w14:textId="77777777" w:rsidR="00652408" w:rsidRPr="00A2271A" w:rsidRDefault="00652408">
      <w:pPr>
        <w:pStyle w:val="ListParagraph"/>
        <w:numPr>
          <w:ilvl w:val="0"/>
          <w:numId w:val="6"/>
        </w:numPr>
        <w:spacing w:before="60" w:after="60"/>
        <w:contextualSpacing w:val="0"/>
        <w:jc w:val="both"/>
        <w:rPr>
          <w:rFonts w:ascii="Lato" w:hAnsi="Lato"/>
        </w:rPr>
      </w:pPr>
      <w:r w:rsidRPr="00A2271A">
        <w:rPr>
          <w:rFonts w:ascii="Lato" w:hAnsi="Lato"/>
        </w:rPr>
        <w:t>Focus Group Discussions (FGDs) with teachers, parents, students, CECs, and marginalised community members;</w:t>
      </w:r>
    </w:p>
    <w:p w14:paraId="67F5D255"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School visits and field observations across diverse regions, with purposive sampling to ensure coverage of urban, rural, nomadic and emergency-affected areas.</w:t>
      </w:r>
    </w:p>
    <w:p w14:paraId="5C92E2BD" w14:textId="77777777" w:rsidR="00652408" w:rsidRPr="00A2271A" w:rsidRDefault="00652408" w:rsidP="00652408">
      <w:pPr>
        <w:pStyle w:val="ListParagraph"/>
        <w:spacing w:before="60" w:after="60"/>
        <w:contextualSpacing w:val="0"/>
        <w:rPr>
          <w:rFonts w:ascii="Lato" w:hAnsi="Lato"/>
        </w:rPr>
      </w:pPr>
    </w:p>
    <w:p w14:paraId="0A116107" w14:textId="77777777" w:rsidR="00652408" w:rsidRPr="00A2271A" w:rsidRDefault="00652408" w:rsidP="00652408">
      <w:pPr>
        <w:spacing w:before="80" w:after="80"/>
        <w:jc w:val="both"/>
        <w:rPr>
          <w:rFonts w:ascii="Lato" w:hAnsi="Lato"/>
          <w:lang w:val="en-GB"/>
        </w:rPr>
      </w:pPr>
      <w:r w:rsidRPr="00A2271A">
        <w:rPr>
          <w:rFonts w:ascii="Lato" w:hAnsi="Lato"/>
          <w:lang w:val="en-GB"/>
        </w:rPr>
        <w:t>Consultants shall maximise the use of existing data and limit additional primary surveys to areas where critical data gaps are confirmed.</w:t>
      </w:r>
    </w:p>
    <w:p w14:paraId="57C40064" w14:textId="77777777" w:rsidR="00652408" w:rsidRPr="00A2271A" w:rsidRDefault="00652408" w:rsidP="00652408">
      <w:pPr>
        <w:pStyle w:val="Heading2"/>
        <w:rPr>
          <w:rFonts w:ascii="Lato" w:hAnsi="Lato"/>
          <w:lang w:val="en-GB"/>
        </w:rPr>
      </w:pPr>
      <w:r w:rsidRPr="00A2271A">
        <w:rPr>
          <w:rFonts w:ascii="Lato" w:eastAsia="Arial" w:hAnsi="Lato" w:cs="Arial"/>
          <w:b/>
          <w:bCs/>
          <w:color w:val="2E75B6"/>
          <w:sz w:val="24"/>
          <w:szCs w:val="24"/>
          <w:lang w:val="en-GB"/>
        </w:rPr>
        <w:t>3.2 Component B: End-of-Cycle Assessment of ESSP 2022–2026</w:t>
      </w:r>
    </w:p>
    <w:p w14:paraId="154FD4AC" w14:textId="77777777" w:rsidR="00652408" w:rsidRPr="00A2271A" w:rsidRDefault="00652408" w:rsidP="00652408">
      <w:pPr>
        <w:spacing w:before="80" w:after="80"/>
        <w:jc w:val="both"/>
        <w:rPr>
          <w:rFonts w:ascii="Lato" w:hAnsi="Lato"/>
          <w:lang w:val="en-GB"/>
        </w:rPr>
      </w:pPr>
      <w:r w:rsidRPr="00A2271A">
        <w:rPr>
          <w:rFonts w:ascii="Lato" w:hAnsi="Lato"/>
          <w:lang w:val="en-GB"/>
        </w:rPr>
        <w:t>A systematic, evidence-based assessment of ESSP 2022–2026 implementation shall be conducted, covering:</w:t>
      </w:r>
    </w:p>
    <w:p w14:paraId="329E83E1"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lastRenderedPageBreak/>
        <w:t>Achievement against each policy priority objective and associated targets for all sub-sectors and system capacity areas, using ESSP M&amp;E framework indicators;</w:t>
      </w:r>
    </w:p>
    <w:p w14:paraId="06362DD3"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Effectiveness of the sector-wide approach and coordination mechanisms (ESC, TWGs, ESSP Coordination Units at national and regional level);</w:t>
      </w:r>
    </w:p>
    <w:p w14:paraId="6788BE62"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Quality and use of JRES processes and reports;</w:t>
      </w:r>
    </w:p>
    <w:p w14:paraId="03FCA16D"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Progress in education financing relative to commitments (domestic allocation targets and GPE/partner funding);</w:t>
      </w:r>
    </w:p>
    <w:p w14:paraId="0DC994B0"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Equity outcomes: progress in reducing urban–rural disparities, gender gaps, and access for MVC;</w:t>
      </w:r>
    </w:p>
    <w:p w14:paraId="0959DF5C"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Relevance and effectiveness of EiE responses;</w:t>
      </w:r>
    </w:p>
    <w:p w14:paraId="57DA8178"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Cross-cutting lessons learned, recommendations and items to carry forward or redesign in the ESSP 2027–2031.</w:t>
      </w:r>
    </w:p>
    <w:p w14:paraId="74A5C982" w14:textId="77777777" w:rsidR="00652408" w:rsidRPr="00A2271A" w:rsidRDefault="00652408">
      <w:pPr>
        <w:pStyle w:val="NormalWeb"/>
        <w:numPr>
          <w:ilvl w:val="0"/>
          <w:numId w:val="6"/>
        </w:numPr>
        <w:jc w:val="both"/>
        <w:rPr>
          <w:rFonts w:ascii="Lato" w:eastAsia="Arial" w:hAnsi="Lato" w:cs="Arial"/>
          <w:sz w:val="22"/>
          <w:szCs w:val="22"/>
          <w:lang w:val="en-GB"/>
        </w:rPr>
      </w:pPr>
      <w:r w:rsidRPr="00A2271A">
        <w:rPr>
          <w:rFonts w:ascii="Lato" w:eastAsia="Arial" w:hAnsi="Lato" w:cs="Arial"/>
          <w:sz w:val="22"/>
          <w:szCs w:val="22"/>
          <w:lang w:val="en-GB"/>
        </w:rPr>
        <w:t>Assessment of implementation bottlenecks, institutional constraints and lessons learned from policy implementation using a political economy lens;</w:t>
      </w:r>
    </w:p>
    <w:p w14:paraId="1730762B" w14:textId="77777777" w:rsidR="00652408" w:rsidRPr="00A2271A" w:rsidRDefault="00652408">
      <w:pPr>
        <w:pStyle w:val="NormalWeb"/>
        <w:numPr>
          <w:ilvl w:val="0"/>
          <w:numId w:val="6"/>
        </w:numPr>
        <w:jc w:val="both"/>
        <w:rPr>
          <w:rFonts w:ascii="Lato" w:hAnsi="Lato"/>
          <w:lang w:val="en-GB"/>
        </w:rPr>
      </w:pPr>
      <w:r w:rsidRPr="00A2271A">
        <w:rPr>
          <w:rFonts w:ascii="Lato" w:eastAsia="Arial" w:hAnsi="Lato" w:cs="Arial"/>
          <w:sz w:val="22"/>
          <w:szCs w:val="22"/>
          <w:lang w:val="en-GB"/>
        </w:rPr>
        <w:t>Assessment of the effectiveness of capacity development initiatives implemented during ESSP 2022–2026 and recommendations for future institutional strengthening.</w:t>
      </w:r>
    </w:p>
    <w:p w14:paraId="3931FF80" w14:textId="77777777" w:rsidR="00652408" w:rsidRPr="00A2271A" w:rsidRDefault="00652408" w:rsidP="00652408">
      <w:pPr>
        <w:spacing w:before="80" w:after="80"/>
        <w:jc w:val="both"/>
        <w:rPr>
          <w:rFonts w:ascii="Lato" w:hAnsi="Lato"/>
          <w:lang w:val="en-GB"/>
        </w:rPr>
      </w:pPr>
      <w:r w:rsidRPr="00A2271A">
        <w:rPr>
          <w:rFonts w:ascii="Lato" w:hAnsi="Lato"/>
          <w:lang w:val="en-GB"/>
        </w:rPr>
        <w:t xml:space="preserve">Assessment tools shall be designed jointly with the </w:t>
      </w:r>
      <w:proofErr w:type="spellStart"/>
      <w:r w:rsidRPr="00A2271A">
        <w:rPr>
          <w:rFonts w:ascii="Lato" w:hAnsi="Lato"/>
          <w:lang w:val="en-GB"/>
        </w:rPr>
        <w:t>MoES</w:t>
      </w:r>
      <w:proofErr w:type="spellEnd"/>
      <w:r w:rsidRPr="00A2271A">
        <w:rPr>
          <w:rFonts w:ascii="Lato" w:hAnsi="Lato"/>
          <w:lang w:val="en-GB"/>
        </w:rPr>
        <w:t xml:space="preserve"> Technical Committee and shared for review before data collection commences.</w:t>
      </w:r>
    </w:p>
    <w:p w14:paraId="4E23ADF6" w14:textId="77777777" w:rsidR="00652408" w:rsidRPr="00A2271A" w:rsidRDefault="00652408" w:rsidP="00652408">
      <w:pPr>
        <w:pStyle w:val="Heading2"/>
        <w:rPr>
          <w:rFonts w:ascii="Lato" w:hAnsi="Lato"/>
          <w:lang w:val="en-GB"/>
        </w:rPr>
      </w:pPr>
      <w:r w:rsidRPr="00A2271A">
        <w:rPr>
          <w:rFonts w:ascii="Lato" w:eastAsia="Arial" w:hAnsi="Lato" w:cs="Arial"/>
          <w:b/>
          <w:bCs/>
          <w:color w:val="2E75B6"/>
          <w:sz w:val="24"/>
          <w:szCs w:val="24"/>
          <w:lang w:val="en-GB"/>
        </w:rPr>
        <w:t>3.3 Component C: Synthesis Report and Stakeholder Validation</w:t>
      </w:r>
    </w:p>
    <w:p w14:paraId="49D595C0" w14:textId="77777777" w:rsidR="00652408" w:rsidRPr="00A2271A" w:rsidRDefault="00652408" w:rsidP="00652408">
      <w:pPr>
        <w:spacing w:before="80" w:after="80"/>
        <w:jc w:val="both"/>
        <w:rPr>
          <w:rFonts w:ascii="Lato" w:hAnsi="Lato"/>
          <w:lang w:val="en-GB"/>
        </w:rPr>
      </w:pPr>
      <w:r w:rsidRPr="00A2271A">
        <w:rPr>
          <w:rFonts w:ascii="Lato" w:hAnsi="Lato"/>
          <w:lang w:val="en-GB"/>
        </w:rPr>
        <w:t>Based on the findings of Components A and B, the consultants shall produce a high-quality analytical synthesis report that:</w:t>
      </w:r>
    </w:p>
    <w:p w14:paraId="21DEC95C"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Integrates findings across all analytical domains into a coherent narrative;</w:t>
      </w:r>
    </w:p>
    <w:p w14:paraId="7ADF8365"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Identifies the most critical constraints to achieving equitable, quality education for all in Somaliland;</w:t>
      </w:r>
    </w:p>
    <w:p w14:paraId="6BC0A3A3" w14:textId="77777777" w:rsidR="00652408" w:rsidRPr="00A2271A" w:rsidRDefault="00652408">
      <w:pPr>
        <w:pStyle w:val="ListParagraph"/>
        <w:numPr>
          <w:ilvl w:val="0"/>
          <w:numId w:val="6"/>
        </w:numPr>
        <w:spacing w:before="60" w:after="60"/>
        <w:contextualSpacing w:val="0"/>
        <w:jc w:val="both"/>
        <w:rPr>
          <w:rFonts w:ascii="Lato" w:hAnsi="Lato"/>
        </w:rPr>
      </w:pPr>
      <w:r w:rsidRPr="00A2271A">
        <w:rPr>
          <w:rFonts w:ascii="Lato" w:hAnsi="Lato"/>
        </w:rPr>
        <w:t>Prioritizes identification of constraints using agreed criteria including impact, equity, feasibility, cost-effectiveness and sustainability;</w:t>
      </w:r>
    </w:p>
    <w:p w14:paraId="58529E6C" w14:textId="77777777" w:rsidR="00652408" w:rsidRPr="00A2271A" w:rsidRDefault="00652408">
      <w:pPr>
        <w:pStyle w:val="ListParagraph"/>
        <w:numPr>
          <w:ilvl w:val="0"/>
          <w:numId w:val="6"/>
        </w:numPr>
        <w:spacing w:before="60" w:after="60"/>
        <w:contextualSpacing w:val="0"/>
        <w:jc w:val="both"/>
        <w:rPr>
          <w:rFonts w:ascii="Lato" w:hAnsi="Lato"/>
        </w:rPr>
      </w:pPr>
      <w:r w:rsidRPr="00A2271A">
        <w:rPr>
          <w:rFonts w:ascii="Lato" w:hAnsi="Lato"/>
        </w:rPr>
        <w:t>Clearly distinguishes between strategic priorities, operational priorities and longer-term reform areas;</w:t>
      </w:r>
    </w:p>
    <w:p w14:paraId="749478F6"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Draws clear conclusions and prioritised recommendations for the design of the ESSP 2027–2031;</w:t>
      </w:r>
    </w:p>
    <w:p w14:paraId="7EF16C80"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Highlights lessons learned and areas requiring policy change or innovation;</w:t>
      </w:r>
    </w:p>
    <w:p w14:paraId="0EDC6383"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Includes an executive summary of no more than 15 pages.</w:t>
      </w:r>
    </w:p>
    <w:p w14:paraId="37E2598E" w14:textId="77777777" w:rsidR="00652408" w:rsidRPr="00A2271A" w:rsidRDefault="00652408" w:rsidP="00652408">
      <w:pPr>
        <w:spacing w:before="80" w:after="80"/>
        <w:jc w:val="both"/>
        <w:rPr>
          <w:rFonts w:ascii="Lato" w:hAnsi="Lato"/>
          <w:lang w:val="en-GB"/>
        </w:rPr>
      </w:pPr>
      <w:r w:rsidRPr="00A2271A">
        <w:rPr>
          <w:rFonts w:ascii="Lato" w:hAnsi="Lato"/>
          <w:lang w:val="en-GB"/>
        </w:rPr>
        <w:t xml:space="preserve">The synthesis report shall be presented at a national validation workshop with </w:t>
      </w:r>
      <w:proofErr w:type="spellStart"/>
      <w:r w:rsidRPr="00A2271A">
        <w:rPr>
          <w:rFonts w:ascii="Lato" w:hAnsi="Lato"/>
          <w:lang w:val="en-GB"/>
        </w:rPr>
        <w:t>MoES</w:t>
      </w:r>
      <w:proofErr w:type="spellEnd"/>
      <w:r w:rsidRPr="00A2271A">
        <w:rPr>
          <w:rFonts w:ascii="Lato" w:hAnsi="Lato"/>
          <w:lang w:val="en-GB"/>
        </w:rPr>
        <w:t xml:space="preserve"> leadership, ESC members, development partners and other stakeholders. The consultants shall revise the report based on validated feedback before finalisation.</w:t>
      </w:r>
    </w:p>
    <w:p w14:paraId="01926293" w14:textId="77777777" w:rsidR="00652408" w:rsidRPr="00A2271A" w:rsidRDefault="00652408" w:rsidP="00652408">
      <w:pPr>
        <w:pStyle w:val="Heading2"/>
        <w:rPr>
          <w:rFonts w:ascii="Lato" w:hAnsi="Lato"/>
          <w:lang w:val="en-GB"/>
        </w:rPr>
      </w:pPr>
      <w:r w:rsidRPr="00A2271A">
        <w:rPr>
          <w:rFonts w:ascii="Lato" w:eastAsia="Arial" w:hAnsi="Lato" w:cs="Arial"/>
          <w:b/>
          <w:bCs/>
          <w:color w:val="2E75B6"/>
          <w:sz w:val="24"/>
          <w:szCs w:val="24"/>
          <w:lang w:val="en-GB"/>
        </w:rPr>
        <w:t>3.4 Component D: Development of ESSP 2027–2031</w:t>
      </w:r>
    </w:p>
    <w:p w14:paraId="67DC478A" w14:textId="77777777" w:rsidR="00652408" w:rsidRPr="00A2271A" w:rsidRDefault="00652408" w:rsidP="00652408">
      <w:pPr>
        <w:spacing w:before="80" w:after="80"/>
        <w:jc w:val="both"/>
        <w:rPr>
          <w:rFonts w:ascii="Lato" w:hAnsi="Lato"/>
          <w:lang w:val="en-GB"/>
        </w:rPr>
      </w:pPr>
      <w:r w:rsidRPr="00A2271A">
        <w:rPr>
          <w:rFonts w:ascii="Lato" w:hAnsi="Lato"/>
          <w:lang w:val="en-GB"/>
        </w:rPr>
        <w:t xml:space="preserve">Using the validated ESA 2026 synthesis report as the evidence base, the consultants shall support the </w:t>
      </w:r>
      <w:proofErr w:type="spellStart"/>
      <w:r w:rsidRPr="00A2271A">
        <w:rPr>
          <w:rFonts w:ascii="Lato" w:hAnsi="Lato"/>
          <w:lang w:val="en-GB"/>
        </w:rPr>
        <w:t>MoES</w:t>
      </w:r>
      <w:proofErr w:type="spellEnd"/>
      <w:r w:rsidRPr="00A2271A">
        <w:rPr>
          <w:rFonts w:ascii="Lato" w:hAnsi="Lato"/>
          <w:lang w:val="en-GB"/>
        </w:rPr>
        <w:t xml:space="preserve"> to develop the ESSP 2027–2031, comprising:</w:t>
      </w:r>
    </w:p>
    <w:p w14:paraId="08B1646F" w14:textId="77777777" w:rsidR="00652408" w:rsidRPr="00A2271A" w:rsidRDefault="00652408" w:rsidP="00652408">
      <w:pPr>
        <w:pStyle w:val="Heading3"/>
        <w:rPr>
          <w:rFonts w:ascii="Lato" w:hAnsi="Lato"/>
          <w:lang w:val="en-GB"/>
        </w:rPr>
      </w:pPr>
      <w:r w:rsidRPr="00A2271A">
        <w:rPr>
          <w:rFonts w:ascii="Lato" w:eastAsia="Arial" w:hAnsi="Lato" w:cs="Arial"/>
          <w:b/>
          <w:bCs/>
          <w:color w:val="1F5C99"/>
          <w:sz w:val="22"/>
          <w:szCs w:val="22"/>
          <w:lang w:val="en-GB"/>
        </w:rPr>
        <w:t>3.4.1 Strategic Framework</w:t>
      </w:r>
    </w:p>
    <w:p w14:paraId="1866B976"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Define the vision, mission and overarching goals of the ESSP 2027–2031, consistent with Vision 2030, SLNEP 2015–2030 and SDG 4;</w:t>
      </w:r>
    </w:p>
    <w:p w14:paraId="37E5B41E"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lastRenderedPageBreak/>
        <w:t>Formulate policy priority objectives for each sub-sector (ECCE, Primary, Secondary, NFE, TVET, Higher Education) and system capacity areas, building on the ESSP 2022–2026 framework;</w:t>
      </w:r>
    </w:p>
    <w:p w14:paraId="023BAAFC" w14:textId="77777777" w:rsidR="00652408" w:rsidRPr="00A2271A" w:rsidRDefault="00652408">
      <w:pPr>
        <w:pStyle w:val="ListParagraph"/>
        <w:numPr>
          <w:ilvl w:val="0"/>
          <w:numId w:val="6"/>
        </w:numPr>
        <w:spacing w:before="60" w:after="60"/>
        <w:contextualSpacing w:val="0"/>
        <w:jc w:val="both"/>
        <w:rPr>
          <w:rFonts w:ascii="Lato" w:hAnsi="Lato"/>
        </w:rPr>
      </w:pPr>
      <w:r w:rsidRPr="00A2271A">
        <w:rPr>
          <w:rFonts w:ascii="Lato" w:hAnsi="Lato"/>
        </w:rPr>
        <w:t>Ensure all strategic objectives, programmes and interventions are explicitly linked to findings and recommendations emerging from the ESA 2026;</w:t>
      </w:r>
    </w:p>
    <w:p w14:paraId="461B2EFB" w14:textId="77777777" w:rsidR="00652408" w:rsidRPr="00A2271A" w:rsidRDefault="00652408">
      <w:pPr>
        <w:pStyle w:val="ListParagraph"/>
        <w:numPr>
          <w:ilvl w:val="0"/>
          <w:numId w:val="6"/>
        </w:numPr>
        <w:spacing w:before="60" w:after="60"/>
        <w:contextualSpacing w:val="0"/>
        <w:jc w:val="both"/>
        <w:rPr>
          <w:rFonts w:ascii="Lato" w:hAnsi="Lato"/>
        </w:rPr>
      </w:pPr>
      <w:r w:rsidRPr="00A2271A">
        <w:rPr>
          <w:rFonts w:ascii="Lato" w:hAnsi="Lato"/>
        </w:rPr>
        <w:t xml:space="preserve"> Develop a sector Theory of Change and results chain linking inputs, outputs, outcomes and long-term impacts.</w:t>
      </w:r>
    </w:p>
    <w:p w14:paraId="1BE63E30" w14:textId="77777777" w:rsidR="00652408" w:rsidRPr="00A2271A" w:rsidRDefault="00652408">
      <w:pPr>
        <w:pStyle w:val="ListParagraph"/>
        <w:numPr>
          <w:ilvl w:val="0"/>
          <w:numId w:val="6"/>
        </w:numPr>
        <w:spacing w:before="60" w:after="60"/>
        <w:contextualSpacing w:val="0"/>
        <w:jc w:val="both"/>
        <w:rPr>
          <w:rFonts w:ascii="Lato" w:hAnsi="Lato"/>
        </w:rPr>
      </w:pPr>
      <w:r w:rsidRPr="00A2271A">
        <w:rPr>
          <w:rFonts w:ascii="Lato" w:hAnsi="Lato"/>
        </w:rPr>
        <w:t>Define strategies, programmes and planned activities under each priority objective;</w:t>
      </w:r>
    </w:p>
    <w:p w14:paraId="6AEC6A3D" w14:textId="77777777" w:rsidR="00652408" w:rsidRPr="00A2271A" w:rsidRDefault="00652408">
      <w:pPr>
        <w:pStyle w:val="ListParagraph"/>
        <w:numPr>
          <w:ilvl w:val="0"/>
          <w:numId w:val="6"/>
        </w:numPr>
        <w:spacing w:before="60" w:after="60"/>
        <w:contextualSpacing w:val="0"/>
        <w:jc w:val="both"/>
        <w:rPr>
          <w:rFonts w:ascii="Lato" w:hAnsi="Lato"/>
        </w:rPr>
      </w:pPr>
      <w:r w:rsidRPr="00A2271A">
        <w:rPr>
          <w:rFonts w:ascii="Lato" w:hAnsi="Lato"/>
        </w:rPr>
        <w:t>Set realistic, time-bound targets and outcome indicators for 2027–2031;</w:t>
      </w:r>
    </w:p>
    <w:p w14:paraId="0AB485D9"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Prioritise interventions based on evidence of impact, affordability, implementation feasibility and contribution to reducing educational inequalities;</w:t>
      </w:r>
    </w:p>
    <w:p w14:paraId="4A7F87A9"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Incorporate a strong equity and inclusion dimension, with explicit targets for girls, children with disabilities, rural and nomadic children, IDPs and MVC;</w:t>
      </w:r>
    </w:p>
    <w:p w14:paraId="19843038"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Integrate climate resilience and EiE into all sub-sector plans and system capacity areas;</w:t>
      </w:r>
    </w:p>
    <w:p w14:paraId="7F3A954E"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Incorporate ICT and digital learning strategies across sub-sectors.</w:t>
      </w:r>
    </w:p>
    <w:p w14:paraId="057EBDB0" w14:textId="77777777" w:rsidR="00652408" w:rsidRPr="00A2271A" w:rsidRDefault="00652408" w:rsidP="00652408">
      <w:pPr>
        <w:pStyle w:val="Heading3"/>
        <w:rPr>
          <w:rFonts w:ascii="Lato" w:hAnsi="Lato"/>
          <w:lang w:val="en-GB"/>
        </w:rPr>
      </w:pPr>
      <w:r w:rsidRPr="00A2271A">
        <w:rPr>
          <w:rFonts w:ascii="Lato" w:eastAsia="Arial" w:hAnsi="Lato" w:cs="Arial"/>
          <w:b/>
          <w:bCs/>
          <w:color w:val="1F5C99"/>
          <w:sz w:val="22"/>
          <w:szCs w:val="22"/>
          <w:lang w:val="en-GB"/>
        </w:rPr>
        <w:t>3.4.2 Costing and Financial Framework</w:t>
      </w:r>
    </w:p>
    <w:p w14:paraId="6A3FAF39"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Develop or update an Education Simulation Model for ESSP 2027–2031 costing;</w:t>
      </w:r>
    </w:p>
    <w:p w14:paraId="283216F1"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Produce a full costing of the ESSP under two financial scenarios (continuation of current trends vs. commitment model aligned with SDG 4 financing benchmarks);</w:t>
      </w:r>
    </w:p>
    <w:p w14:paraId="24A6F158"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Identify domestic revenue projections, anticipated partner contributions and remaining financing gaps;</w:t>
      </w:r>
    </w:p>
    <w:p w14:paraId="338595FC"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Develop a resource mobilisation strategy to address financing gaps;</w:t>
      </w:r>
    </w:p>
    <w:p w14:paraId="26D7B64C"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Produce a detailed, costed three-year action plan (2027–2029).</w:t>
      </w:r>
    </w:p>
    <w:p w14:paraId="3C793B9B" w14:textId="77777777" w:rsidR="00652408" w:rsidRPr="00A2271A" w:rsidRDefault="00652408" w:rsidP="00652408">
      <w:pPr>
        <w:pStyle w:val="Heading3"/>
        <w:rPr>
          <w:rFonts w:ascii="Lato" w:hAnsi="Lato"/>
          <w:lang w:val="en-GB"/>
        </w:rPr>
      </w:pPr>
      <w:r w:rsidRPr="00A2271A">
        <w:rPr>
          <w:rFonts w:ascii="Lato" w:eastAsia="Arial" w:hAnsi="Lato" w:cs="Arial"/>
          <w:b/>
          <w:bCs/>
          <w:color w:val="1F5C99"/>
          <w:sz w:val="22"/>
          <w:szCs w:val="22"/>
          <w:lang w:val="en-GB"/>
        </w:rPr>
        <w:t>3.4.3 Monitoring and Evaluation Framework</w:t>
      </w:r>
    </w:p>
    <w:p w14:paraId="11F0736A"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Develop a comprehensive M&amp;E framework for ESSP 2027–2031, with indicators, baselines, annual targets, data sources and responsible parties;</w:t>
      </w:r>
    </w:p>
    <w:p w14:paraId="508875A2"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Define the ESSP coordination and review architecture, including JRES schedule, mid-term review, end-of-cycle evaluation, and EMIS reporting requirements;</w:t>
      </w:r>
    </w:p>
    <w:p w14:paraId="1E15B6AC"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Clarify roles and responsibilities of national, regional and district-level M&amp;E units;</w:t>
      </w:r>
    </w:p>
    <w:p w14:paraId="420DB0C3"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Integrate EiE monitoring into the M&amp;E framework.</w:t>
      </w:r>
    </w:p>
    <w:p w14:paraId="2242FF3C" w14:textId="77777777" w:rsidR="00652408" w:rsidRPr="00A2271A" w:rsidRDefault="00652408" w:rsidP="00652408">
      <w:pPr>
        <w:pStyle w:val="Heading3"/>
        <w:rPr>
          <w:rFonts w:ascii="Lato" w:hAnsi="Lato"/>
          <w:lang w:val="en-GB"/>
        </w:rPr>
      </w:pPr>
      <w:r w:rsidRPr="00A2271A">
        <w:rPr>
          <w:rFonts w:ascii="Lato" w:eastAsia="Arial" w:hAnsi="Lato" w:cs="Arial"/>
          <w:b/>
          <w:bCs/>
          <w:color w:val="1F5C99"/>
          <w:sz w:val="22"/>
          <w:szCs w:val="22"/>
          <w:lang w:val="en-GB"/>
        </w:rPr>
        <w:t>3.4.4 Risk Analysis</w:t>
      </w:r>
    </w:p>
    <w:p w14:paraId="7F4664D4" w14:textId="77777777" w:rsidR="00652408" w:rsidRPr="00A2271A" w:rsidRDefault="00652408">
      <w:pPr>
        <w:pStyle w:val="ListParagraph"/>
        <w:numPr>
          <w:ilvl w:val="0"/>
          <w:numId w:val="6"/>
        </w:numPr>
        <w:spacing w:before="60" w:after="60"/>
        <w:contextualSpacing w:val="0"/>
        <w:jc w:val="both"/>
        <w:rPr>
          <w:rFonts w:ascii="Lato" w:hAnsi="Lato"/>
        </w:rPr>
      </w:pPr>
      <w:r w:rsidRPr="00A2271A">
        <w:rPr>
          <w:rFonts w:ascii="Lato" w:hAnsi="Lato"/>
        </w:rPr>
        <w:t>Undertake a comprehensive political economy and reform risk assessment identifying institutional, political, financial and stakeholder risks that may affect implementation;</w:t>
      </w:r>
    </w:p>
    <w:p w14:paraId="4A971685" w14:textId="77777777" w:rsidR="00652408" w:rsidRPr="00A2271A" w:rsidRDefault="00652408">
      <w:pPr>
        <w:pStyle w:val="ListParagraph"/>
        <w:numPr>
          <w:ilvl w:val="0"/>
          <w:numId w:val="6"/>
        </w:numPr>
        <w:spacing w:before="60" w:after="60"/>
        <w:contextualSpacing w:val="0"/>
        <w:jc w:val="both"/>
        <w:rPr>
          <w:rFonts w:ascii="Lato" w:hAnsi="Lato"/>
        </w:rPr>
      </w:pPr>
      <w:r w:rsidRPr="00A2271A">
        <w:rPr>
          <w:rFonts w:ascii="Lato" w:hAnsi="Lato"/>
        </w:rPr>
        <w:t>Update the sector risk register, including climate risks, political risks, conflict sensitivity, funding predictability, capacity constraints and health emergencies;</w:t>
      </w:r>
    </w:p>
    <w:p w14:paraId="2147CFC0" w14:textId="77777777" w:rsidR="00652408" w:rsidRPr="00A2271A" w:rsidRDefault="00652408">
      <w:pPr>
        <w:pStyle w:val="ListParagraph"/>
        <w:numPr>
          <w:ilvl w:val="0"/>
          <w:numId w:val="6"/>
        </w:numPr>
        <w:spacing w:before="60" w:after="60"/>
        <w:contextualSpacing w:val="0"/>
        <w:jc w:val="both"/>
        <w:rPr>
          <w:rFonts w:ascii="Lato" w:hAnsi="Lato"/>
        </w:rPr>
      </w:pPr>
      <w:r w:rsidRPr="00A2271A">
        <w:rPr>
          <w:rFonts w:ascii="Lato" w:hAnsi="Lato"/>
        </w:rPr>
        <w:t>Identify mitigation measures and contingency arrangements for the highest-priority risks.</w:t>
      </w:r>
    </w:p>
    <w:p w14:paraId="5AF9ADA6" w14:textId="77777777" w:rsidR="00652408" w:rsidRPr="00A2271A" w:rsidRDefault="00652408" w:rsidP="00652408">
      <w:pPr>
        <w:pStyle w:val="Heading3"/>
        <w:rPr>
          <w:rFonts w:ascii="Lato" w:hAnsi="Lato"/>
          <w:lang w:val="en-GB"/>
        </w:rPr>
      </w:pPr>
      <w:r w:rsidRPr="00A2271A">
        <w:rPr>
          <w:rFonts w:ascii="Lato" w:eastAsia="Arial" w:hAnsi="Lato" w:cs="Arial"/>
          <w:b/>
          <w:bCs/>
          <w:color w:val="1F5C99"/>
          <w:sz w:val="22"/>
          <w:szCs w:val="22"/>
          <w:lang w:val="en-GB"/>
        </w:rPr>
        <w:t>3.4.5 Stakeholder Consultation and Validation</w:t>
      </w:r>
    </w:p>
    <w:p w14:paraId="37879C49"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Conduct at least two rounds of national stakeholder consultation workshops on the draft ESSP 2027–2031;</w:t>
      </w:r>
    </w:p>
    <w:p w14:paraId="68837455"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Facilitate regional consultation sessions to ensure decentralised ownership and incorporate regional priorities;</w:t>
      </w:r>
    </w:p>
    <w:p w14:paraId="1612DC97"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lastRenderedPageBreak/>
        <w:t xml:space="preserve">Present the draft ESSP at the national validation conference for endorsement by </w:t>
      </w:r>
      <w:proofErr w:type="spellStart"/>
      <w:r w:rsidRPr="00A2271A">
        <w:rPr>
          <w:rFonts w:ascii="Lato" w:hAnsi="Lato"/>
        </w:rPr>
        <w:t>MoES</w:t>
      </w:r>
      <w:proofErr w:type="spellEnd"/>
      <w:r w:rsidRPr="00A2271A">
        <w:rPr>
          <w:rFonts w:ascii="Lato" w:hAnsi="Lato"/>
        </w:rPr>
        <w:t xml:space="preserve"> leadership and ESC members;</w:t>
      </w:r>
    </w:p>
    <w:p w14:paraId="6CA53C0F"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Revise and finalise the ESSP incorporating all validated feedback.</w:t>
      </w:r>
    </w:p>
    <w:p w14:paraId="19FDF5ED" w14:textId="77777777" w:rsidR="00652408" w:rsidRPr="00A2271A" w:rsidRDefault="00652408" w:rsidP="00652408">
      <w:pPr>
        <w:spacing w:before="60" w:after="60"/>
        <w:rPr>
          <w:rFonts w:ascii="Lato" w:hAnsi="Lato"/>
          <w:lang w:val="en-GB"/>
        </w:rPr>
      </w:pPr>
    </w:p>
    <w:p w14:paraId="3ED03CEB" w14:textId="77777777" w:rsidR="00652408" w:rsidRPr="00A2271A" w:rsidRDefault="00652408" w:rsidP="00652408">
      <w:pPr>
        <w:pStyle w:val="Heading1"/>
        <w:pBdr>
          <w:bottom w:val="single" w:sz="6" w:space="4" w:color="1F5C99"/>
        </w:pBdr>
        <w:rPr>
          <w:rFonts w:ascii="Lato" w:hAnsi="Lato"/>
          <w:lang w:val="en-GB"/>
        </w:rPr>
      </w:pPr>
      <w:r w:rsidRPr="00A2271A">
        <w:rPr>
          <w:rFonts w:ascii="Lato" w:eastAsia="Arial" w:hAnsi="Lato" w:cs="Arial"/>
          <w:b/>
          <w:bCs/>
          <w:color w:val="1F5C99"/>
          <w:sz w:val="28"/>
          <w:szCs w:val="28"/>
          <w:lang w:val="en-GB"/>
        </w:rPr>
        <w:t>4. Organisational and Governance Arrangements</w:t>
      </w:r>
    </w:p>
    <w:p w14:paraId="55BDE993" w14:textId="77777777" w:rsidR="00652408" w:rsidRPr="00A2271A" w:rsidRDefault="00652408" w:rsidP="00652408">
      <w:pPr>
        <w:spacing w:before="80" w:after="80"/>
        <w:jc w:val="both"/>
        <w:rPr>
          <w:rFonts w:ascii="Lato" w:hAnsi="Lato"/>
          <w:lang w:val="en-GB"/>
        </w:rPr>
      </w:pPr>
      <w:r w:rsidRPr="00A2271A">
        <w:rPr>
          <w:rFonts w:ascii="Lato" w:hAnsi="Lato"/>
          <w:lang w:val="en-GB"/>
        </w:rPr>
        <w:t xml:space="preserve">The </w:t>
      </w:r>
      <w:proofErr w:type="spellStart"/>
      <w:r w:rsidRPr="00A2271A">
        <w:rPr>
          <w:rFonts w:ascii="Lato" w:hAnsi="Lato"/>
          <w:lang w:val="en-GB"/>
        </w:rPr>
        <w:t>MoES</w:t>
      </w:r>
      <w:proofErr w:type="spellEnd"/>
      <w:r w:rsidRPr="00A2271A">
        <w:rPr>
          <w:rFonts w:ascii="Lato" w:hAnsi="Lato"/>
          <w:lang w:val="en-GB"/>
        </w:rPr>
        <w:t xml:space="preserve"> will establish a structured governance framework to ensure broad participation, quality control and local ownership throughout the process.</w:t>
      </w:r>
    </w:p>
    <w:p w14:paraId="71B67CF3" w14:textId="77777777" w:rsidR="00652408" w:rsidRPr="00A2271A" w:rsidRDefault="00652408" w:rsidP="00652408">
      <w:pPr>
        <w:pStyle w:val="Heading2"/>
        <w:rPr>
          <w:rFonts w:ascii="Lato" w:hAnsi="Lato"/>
          <w:lang w:val="en-GB"/>
        </w:rPr>
      </w:pPr>
      <w:r w:rsidRPr="00A2271A">
        <w:rPr>
          <w:rFonts w:ascii="Lato" w:eastAsia="Arial" w:hAnsi="Lato" w:cs="Arial"/>
          <w:b/>
          <w:bCs/>
          <w:color w:val="2E75B6"/>
          <w:sz w:val="24"/>
          <w:szCs w:val="24"/>
          <w:lang w:val="en-GB"/>
        </w:rPr>
        <w:t>4.1 ESSP Technical Steering Committee</w:t>
      </w:r>
    </w:p>
    <w:p w14:paraId="00E45A3C" w14:textId="77777777" w:rsidR="00652408" w:rsidRPr="00A2271A" w:rsidRDefault="00652408" w:rsidP="00652408">
      <w:pPr>
        <w:spacing w:before="80" w:after="80"/>
        <w:jc w:val="both"/>
        <w:rPr>
          <w:rFonts w:ascii="Lato" w:hAnsi="Lato"/>
          <w:lang w:val="en-GB"/>
        </w:rPr>
      </w:pPr>
      <w:r w:rsidRPr="00A2271A">
        <w:rPr>
          <w:rFonts w:ascii="Lato" w:hAnsi="Lato"/>
          <w:lang w:val="en-GB"/>
        </w:rPr>
        <w:t xml:space="preserve">An ESSP Technical Steering Committee, chaired by the Director General of the </w:t>
      </w:r>
      <w:proofErr w:type="spellStart"/>
      <w:r w:rsidRPr="00A2271A">
        <w:rPr>
          <w:rFonts w:ascii="Lato" w:hAnsi="Lato"/>
          <w:lang w:val="en-GB"/>
        </w:rPr>
        <w:t>MoES</w:t>
      </w:r>
      <w:proofErr w:type="spellEnd"/>
      <w:r w:rsidRPr="00A2271A">
        <w:rPr>
          <w:rFonts w:ascii="Lato" w:hAnsi="Lato"/>
          <w:lang w:val="en-GB"/>
        </w:rPr>
        <w:t>, will be established to provide strategic oversight. It will comprise:</w:t>
      </w:r>
    </w:p>
    <w:p w14:paraId="53666F43"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 xml:space="preserve">Senior </w:t>
      </w:r>
      <w:proofErr w:type="spellStart"/>
      <w:r w:rsidRPr="00A2271A">
        <w:rPr>
          <w:rFonts w:ascii="Lato" w:hAnsi="Lato"/>
        </w:rPr>
        <w:t>MoES</w:t>
      </w:r>
      <w:proofErr w:type="spellEnd"/>
      <w:r w:rsidRPr="00A2271A">
        <w:rPr>
          <w:rFonts w:ascii="Lato" w:hAnsi="Lato"/>
        </w:rPr>
        <w:t xml:space="preserve"> leadership (Minister, Director General, TAs, heads of key directorates);</w:t>
      </w:r>
    </w:p>
    <w:p w14:paraId="1BC7316A"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Representatives of the Education Sector Committee (ESC)/Local Education Group (LEG).</w:t>
      </w:r>
    </w:p>
    <w:p w14:paraId="43BF66CE"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Representatives of the Ministry of Finance;</w:t>
      </w:r>
    </w:p>
    <w:p w14:paraId="20D7C8A0"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Representatives of the Ministry of National Planning and Development;</w:t>
      </w:r>
    </w:p>
    <w:p w14:paraId="11386929"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Senior representatives of key education development partners (GPE Coordinating Agency and others);</w:t>
      </w:r>
    </w:p>
    <w:p w14:paraId="3C2704DD"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Civil society representatives.</w:t>
      </w:r>
    </w:p>
    <w:p w14:paraId="3FF26A40"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Representatives of the private education sector.</w:t>
      </w:r>
    </w:p>
    <w:p w14:paraId="51E2FC87" w14:textId="77777777" w:rsidR="00652408" w:rsidRPr="00A2271A" w:rsidRDefault="00652408" w:rsidP="00652408">
      <w:pPr>
        <w:spacing w:before="80" w:after="80"/>
        <w:jc w:val="both"/>
        <w:rPr>
          <w:rFonts w:ascii="Lato" w:hAnsi="Lato"/>
          <w:lang w:val="en-GB"/>
        </w:rPr>
      </w:pPr>
      <w:r w:rsidRPr="00A2271A">
        <w:rPr>
          <w:rFonts w:ascii="Lato" w:hAnsi="Lato"/>
          <w:lang w:val="en-GB"/>
        </w:rPr>
        <w:t>The Steering Committee will convene at key milestones: project inception, completion of ESA synthesis, completion of draft ESSP, and final validation.</w:t>
      </w:r>
    </w:p>
    <w:p w14:paraId="0BFEBABC" w14:textId="77777777" w:rsidR="00652408" w:rsidRPr="00A2271A" w:rsidRDefault="00652408" w:rsidP="00652408">
      <w:pPr>
        <w:pStyle w:val="Heading2"/>
        <w:rPr>
          <w:rFonts w:ascii="Lato" w:hAnsi="Lato"/>
          <w:lang w:val="en-GB"/>
        </w:rPr>
      </w:pPr>
      <w:r w:rsidRPr="00A2271A">
        <w:rPr>
          <w:rFonts w:ascii="Lato" w:eastAsia="Arial" w:hAnsi="Lato" w:cs="Arial"/>
          <w:b/>
          <w:bCs/>
          <w:color w:val="2E75B6"/>
          <w:sz w:val="24"/>
          <w:szCs w:val="24"/>
          <w:lang w:val="en-GB"/>
        </w:rPr>
        <w:t>4.2 ESA/ESSP Technical Coordination Committee</w:t>
      </w:r>
    </w:p>
    <w:p w14:paraId="464E8328" w14:textId="77777777" w:rsidR="00652408" w:rsidRPr="00A2271A" w:rsidRDefault="00652408" w:rsidP="00652408">
      <w:pPr>
        <w:spacing w:before="80" w:after="80"/>
        <w:jc w:val="both"/>
        <w:rPr>
          <w:rFonts w:ascii="Lato" w:hAnsi="Lato"/>
          <w:lang w:val="en-GB"/>
        </w:rPr>
      </w:pPr>
      <w:r w:rsidRPr="00A2271A">
        <w:rPr>
          <w:rFonts w:ascii="Lato" w:hAnsi="Lato"/>
          <w:lang w:val="en-GB"/>
        </w:rPr>
        <w:t>A Technical Coordination Committee, led by the MOES Director of Policy and Planning and Co-chaired by the GPE grant agency, will coordinate day-to-day technical work. It will be responsible for:</w:t>
      </w:r>
    </w:p>
    <w:p w14:paraId="4D0A6C99"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Reviewing and approving all draft deliverables before circulation;</w:t>
      </w:r>
    </w:p>
    <w:p w14:paraId="23F505F8"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Coordinating the work of Technical Working Groups;</w:t>
      </w:r>
    </w:p>
    <w:p w14:paraId="09F2D383"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 xml:space="preserve">Liaising between the consultant team and the </w:t>
      </w:r>
      <w:proofErr w:type="spellStart"/>
      <w:r w:rsidRPr="00A2271A">
        <w:rPr>
          <w:rFonts w:ascii="Lato" w:hAnsi="Lato"/>
        </w:rPr>
        <w:t>MoES</w:t>
      </w:r>
      <w:proofErr w:type="spellEnd"/>
      <w:r w:rsidRPr="00A2271A">
        <w:rPr>
          <w:rFonts w:ascii="Lato" w:hAnsi="Lato"/>
        </w:rPr>
        <w:t xml:space="preserve"> leadership;</w:t>
      </w:r>
    </w:p>
    <w:p w14:paraId="43A908F4"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Maintaining the project work plan and timeline.</w:t>
      </w:r>
    </w:p>
    <w:p w14:paraId="46C9539A" w14:textId="77777777" w:rsidR="00652408" w:rsidRPr="00A2271A" w:rsidRDefault="00652408" w:rsidP="00652408">
      <w:pPr>
        <w:pStyle w:val="Heading2"/>
        <w:rPr>
          <w:rFonts w:ascii="Lato" w:hAnsi="Lato"/>
          <w:lang w:val="en-GB"/>
        </w:rPr>
      </w:pPr>
      <w:r w:rsidRPr="00A2271A">
        <w:rPr>
          <w:rFonts w:ascii="Lato" w:eastAsia="Arial" w:hAnsi="Lato" w:cs="Arial"/>
          <w:b/>
          <w:bCs/>
          <w:color w:val="2E75B6"/>
          <w:sz w:val="24"/>
          <w:szCs w:val="24"/>
          <w:lang w:val="en-GB"/>
        </w:rPr>
        <w:t>4.3 Technical Working Groups (TWGs)</w:t>
      </w:r>
    </w:p>
    <w:p w14:paraId="3499286B" w14:textId="77777777" w:rsidR="00652408" w:rsidRPr="00A2271A" w:rsidRDefault="00652408" w:rsidP="00652408">
      <w:pPr>
        <w:spacing w:before="80" w:after="80"/>
        <w:jc w:val="both"/>
        <w:rPr>
          <w:rFonts w:ascii="Lato" w:hAnsi="Lato"/>
          <w:lang w:val="en-GB"/>
        </w:rPr>
      </w:pPr>
      <w:r w:rsidRPr="00A2271A">
        <w:rPr>
          <w:rFonts w:ascii="Lato" w:hAnsi="Lato"/>
          <w:lang w:val="en-GB"/>
        </w:rPr>
        <w:t>Thematic TWGs will be established or revitalised for the following areas:</w:t>
      </w:r>
    </w:p>
    <w:p w14:paraId="72B052CE"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ECCE and Primary Education;</w:t>
      </w:r>
    </w:p>
    <w:p w14:paraId="7165A30B"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Secondary Education;</w:t>
      </w:r>
    </w:p>
    <w:p w14:paraId="632CC0B9"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Non-Formal Education (NFE);</w:t>
      </w:r>
    </w:p>
    <w:p w14:paraId="46EA706B"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Technical and Vocational Education and Training (TVET);</w:t>
      </w:r>
    </w:p>
    <w:p w14:paraId="2AE79256"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Higher Education;</w:t>
      </w:r>
    </w:p>
    <w:p w14:paraId="10E5C270"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Education in Emergencies (EiE);</w:t>
      </w:r>
    </w:p>
    <w:p w14:paraId="59610A51"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Finance, Costing and Simulation Modelling;</w:t>
      </w:r>
    </w:p>
    <w:p w14:paraId="7AD5B823"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Monitoring, Evaluation and EMIS;</w:t>
      </w:r>
    </w:p>
    <w:p w14:paraId="74061A70"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Gender, Equity and Inclusion.</w:t>
      </w:r>
    </w:p>
    <w:p w14:paraId="2931211E" w14:textId="77777777" w:rsidR="00652408" w:rsidRPr="00A2271A" w:rsidRDefault="00652408" w:rsidP="00652408">
      <w:pPr>
        <w:spacing w:before="80" w:after="80"/>
        <w:jc w:val="both"/>
        <w:rPr>
          <w:rFonts w:ascii="Lato" w:hAnsi="Lato"/>
          <w:lang w:val="en-GB"/>
        </w:rPr>
      </w:pPr>
      <w:r w:rsidRPr="00A2271A">
        <w:rPr>
          <w:rFonts w:ascii="Lato" w:hAnsi="Lato"/>
          <w:lang w:val="en-GB"/>
        </w:rPr>
        <w:lastRenderedPageBreak/>
        <w:t xml:space="preserve">Each TWG will be led by the relevant </w:t>
      </w:r>
      <w:proofErr w:type="spellStart"/>
      <w:r w:rsidRPr="00A2271A">
        <w:rPr>
          <w:rFonts w:ascii="Lato" w:hAnsi="Lato"/>
          <w:lang w:val="en-GB"/>
        </w:rPr>
        <w:t>MoES</w:t>
      </w:r>
      <w:proofErr w:type="spellEnd"/>
      <w:r w:rsidRPr="00A2271A">
        <w:rPr>
          <w:rFonts w:ascii="Lato" w:hAnsi="Lato"/>
          <w:lang w:val="en-GB"/>
        </w:rPr>
        <w:t xml:space="preserve"> Directorate and will include development partner representatives. TWGs will draft specific sections of the ESSP 2027–2031 under the guidance of the consultant team.</w:t>
      </w:r>
    </w:p>
    <w:p w14:paraId="5CD03B10" w14:textId="77777777" w:rsidR="00652408" w:rsidRPr="00A2271A" w:rsidRDefault="00652408" w:rsidP="00652408">
      <w:pPr>
        <w:pStyle w:val="Heading2"/>
        <w:rPr>
          <w:rFonts w:ascii="Lato" w:hAnsi="Lato"/>
          <w:lang w:val="en-GB"/>
        </w:rPr>
      </w:pPr>
      <w:r w:rsidRPr="00A2271A">
        <w:rPr>
          <w:rFonts w:ascii="Lato" w:eastAsia="Arial" w:hAnsi="Lato" w:cs="Arial"/>
          <w:b/>
          <w:bCs/>
          <w:color w:val="2E75B6"/>
          <w:sz w:val="24"/>
          <w:szCs w:val="24"/>
          <w:lang w:val="en-GB"/>
        </w:rPr>
        <w:t>4.4 GPE Coordinating Agency</w:t>
      </w:r>
    </w:p>
    <w:p w14:paraId="3B76B35F" w14:textId="77777777" w:rsidR="00652408" w:rsidRPr="00A2271A" w:rsidRDefault="00652408" w:rsidP="00652408">
      <w:pPr>
        <w:spacing w:before="80" w:after="80"/>
        <w:jc w:val="both"/>
        <w:rPr>
          <w:rFonts w:ascii="Lato" w:hAnsi="Lato"/>
          <w:lang w:val="en-GB"/>
        </w:rPr>
      </w:pPr>
      <w:r w:rsidRPr="00A2271A">
        <w:rPr>
          <w:rFonts w:ascii="Lato" w:hAnsi="Lato"/>
          <w:lang w:val="en-GB"/>
        </w:rPr>
        <w:t>The GPE Coordinating Agency (CA) will play a coordination and quality assurance role throughout the assignment, in line with GPE requirements for system transformation grants.</w:t>
      </w:r>
    </w:p>
    <w:p w14:paraId="53CC2631" w14:textId="77777777" w:rsidR="00652408" w:rsidRPr="00A2271A" w:rsidRDefault="00652408" w:rsidP="00652408">
      <w:pPr>
        <w:spacing w:before="60" w:after="60"/>
        <w:rPr>
          <w:rFonts w:ascii="Lato" w:hAnsi="Lato"/>
          <w:lang w:val="en-GB"/>
        </w:rPr>
      </w:pPr>
    </w:p>
    <w:p w14:paraId="59E2081B" w14:textId="77777777" w:rsidR="00652408" w:rsidRPr="00A2271A" w:rsidRDefault="00652408" w:rsidP="00652408">
      <w:pPr>
        <w:pStyle w:val="Heading1"/>
        <w:pBdr>
          <w:bottom w:val="single" w:sz="6" w:space="4" w:color="1F5C99"/>
        </w:pBdr>
        <w:rPr>
          <w:rFonts w:ascii="Lato" w:hAnsi="Lato"/>
          <w:lang w:val="en-GB"/>
        </w:rPr>
      </w:pPr>
      <w:r w:rsidRPr="00A2271A">
        <w:rPr>
          <w:rFonts w:ascii="Lato" w:eastAsia="Arial" w:hAnsi="Lato" w:cs="Arial"/>
          <w:b/>
          <w:bCs/>
          <w:color w:val="1F5C99"/>
          <w:sz w:val="28"/>
          <w:szCs w:val="28"/>
          <w:lang w:val="en-GB"/>
        </w:rPr>
        <w:t>5. Deliverables</w:t>
      </w:r>
    </w:p>
    <w:p w14:paraId="4F5DD9A3" w14:textId="77777777" w:rsidR="00652408" w:rsidRPr="00A2271A" w:rsidRDefault="00652408" w:rsidP="00652408">
      <w:pPr>
        <w:spacing w:before="80" w:after="80"/>
        <w:jc w:val="both"/>
        <w:rPr>
          <w:rFonts w:ascii="Lato" w:hAnsi="Lato"/>
          <w:lang w:val="en-GB"/>
        </w:rPr>
      </w:pPr>
      <w:r w:rsidRPr="00A2271A">
        <w:rPr>
          <w:rFonts w:ascii="Lato" w:hAnsi="Lato"/>
          <w:lang w:val="en-GB"/>
        </w:rPr>
        <w:t>The following deliverables are required from the consultancy:</w:t>
      </w:r>
    </w:p>
    <w:p w14:paraId="5E731648" w14:textId="77777777" w:rsidR="00652408" w:rsidRPr="00A2271A" w:rsidRDefault="00652408" w:rsidP="00652408">
      <w:pPr>
        <w:spacing w:before="60" w:after="60"/>
        <w:rPr>
          <w:rFonts w:ascii="Lato" w:hAnsi="Lato"/>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4160"/>
        <w:gridCol w:w="2400"/>
        <w:gridCol w:w="2200"/>
      </w:tblGrid>
      <w:tr w:rsidR="00652408" w:rsidRPr="00A2271A" w14:paraId="31708A53" w14:textId="77777777" w:rsidTr="0097037F">
        <w:tc>
          <w:tcPr>
            <w:tcW w:w="600" w:type="dxa"/>
            <w:tcBorders>
              <w:top w:val="single" w:sz="1" w:space="0" w:color="1F5C99"/>
              <w:left w:val="single" w:sz="1" w:space="0" w:color="1F5C99"/>
              <w:bottom w:val="single" w:sz="1" w:space="0" w:color="1F5C99"/>
              <w:right w:val="single" w:sz="1" w:space="0" w:color="1F5C99"/>
            </w:tcBorders>
            <w:shd w:val="clear" w:color="auto" w:fill="1F5C99"/>
            <w:tcMar>
              <w:top w:w="80" w:type="dxa"/>
              <w:left w:w="100" w:type="dxa"/>
              <w:bottom w:w="80" w:type="dxa"/>
              <w:right w:w="100" w:type="dxa"/>
            </w:tcMar>
          </w:tcPr>
          <w:p w14:paraId="002AC0B8" w14:textId="77777777" w:rsidR="00652408" w:rsidRPr="00A2271A" w:rsidRDefault="00652408" w:rsidP="0097037F">
            <w:pPr>
              <w:rPr>
                <w:rFonts w:ascii="Lato" w:hAnsi="Lato"/>
                <w:lang w:val="en-GB"/>
              </w:rPr>
            </w:pPr>
            <w:r w:rsidRPr="00A2271A">
              <w:rPr>
                <w:rFonts w:ascii="Lato" w:hAnsi="Lato"/>
                <w:b/>
                <w:bCs/>
                <w:color w:val="FFFFFF"/>
                <w:sz w:val="18"/>
                <w:szCs w:val="18"/>
                <w:lang w:val="en-GB"/>
              </w:rPr>
              <w:t>#</w:t>
            </w:r>
          </w:p>
        </w:tc>
        <w:tc>
          <w:tcPr>
            <w:tcW w:w="4160" w:type="dxa"/>
            <w:tcBorders>
              <w:top w:val="single" w:sz="1" w:space="0" w:color="1F5C99"/>
              <w:left w:val="single" w:sz="1" w:space="0" w:color="1F5C99"/>
              <w:bottom w:val="single" w:sz="1" w:space="0" w:color="1F5C99"/>
              <w:right w:val="single" w:sz="1" w:space="0" w:color="1F5C99"/>
            </w:tcBorders>
            <w:shd w:val="clear" w:color="auto" w:fill="1F5C99"/>
            <w:tcMar>
              <w:top w:w="80" w:type="dxa"/>
              <w:left w:w="100" w:type="dxa"/>
              <w:bottom w:w="80" w:type="dxa"/>
              <w:right w:w="100" w:type="dxa"/>
            </w:tcMar>
          </w:tcPr>
          <w:p w14:paraId="0330104A" w14:textId="77777777" w:rsidR="00652408" w:rsidRPr="00A2271A" w:rsidRDefault="00652408" w:rsidP="0097037F">
            <w:pPr>
              <w:rPr>
                <w:rFonts w:ascii="Lato" w:hAnsi="Lato"/>
                <w:lang w:val="en-GB"/>
              </w:rPr>
            </w:pPr>
            <w:r w:rsidRPr="00A2271A">
              <w:rPr>
                <w:rFonts w:ascii="Lato" w:hAnsi="Lato"/>
                <w:b/>
                <w:bCs/>
                <w:color w:val="FFFFFF"/>
                <w:sz w:val="18"/>
                <w:szCs w:val="18"/>
                <w:lang w:val="en-GB"/>
              </w:rPr>
              <w:t>Deliverable</w:t>
            </w:r>
          </w:p>
        </w:tc>
        <w:tc>
          <w:tcPr>
            <w:tcW w:w="2400" w:type="dxa"/>
            <w:tcBorders>
              <w:top w:val="single" w:sz="1" w:space="0" w:color="1F5C99"/>
              <w:left w:val="single" w:sz="1" w:space="0" w:color="1F5C99"/>
              <w:bottom w:val="single" w:sz="1" w:space="0" w:color="1F5C99"/>
              <w:right w:val="single" w:sz="1" w:space="0" w:color="1F5C99"/>
            </w:tcBorders>
            <w:shd w:val="clear" w:color="auto" w:fill="1F5C99"/>
            <w:tcMar>
              <w:top w:w="80" w:type="dxa"/>
              <w:left w:w="100" w:type="dxa"/>
              <w:bottom w:w="80" w:type="dxa"/>
              <w:right w:w="100" w:type="dxa"/>
            </w:tcMar>
          </w:tcPr>
          <w:p w14:paraId="65ED9843" w14:textId="77777777" w:rsidR="00652408" w:rsidRPr="00A2271A" w:rsidRDefault="00652408" w:rsidP="0097037F">
            <w:pPr>
              <w:rPr>
                <w:rFonts w:ascii="Lato" w:hAnsi="Lato"/>
                <w:lang w:val="en-GB"/>
              </w:rPr>
            </w:pPr>
            <w:r w:rsidRPr="00A2271A">
              <w:rPr>
                <w:rFonts w:ascii="Lato" w:hAnsi="Lato"/>
                <w:b/>
                <w:bCs/>
                <w:color w:val="FFFFFF"/>
                <w:sz w:val="18"/>
                <w:szCs w:val="18"/>
                <w:lang w:val="en-GB"/>
              </w:rPr>
              <w:t>Format</w:t>
            </w:r>
          </w:p>
        </w:tc>
        <w:tc>
          <w:tcPr>
            <w:tcW w:w="2200" w:type="dxa"/>
            <w:tcBorders>
              <w:top w:val="single" w:sz="1" w:space="0" w:color="1F5C99"/>
              <w:left w:val="single" w:sz="1" w:space="0" w:color="1F5C99"/>
              <w:bottom w:val="single" w:sz="1" w:space="0" w:color="1F5C99"/>
              <w:right w:val="single" w:sz="1" w:space="0" w:color="1F5C99"/>
            </w:tcBorders>
            <w:shd w:val="clear" w:color="auto" w:fill="1F5C99"/>
            <w:tcMar>
              <w:top w:w="80" w:type="dxa"/>
              <w:left w:w="100" w:type="dxa"/>
              <w:bottom w:w="80" w:type="dxa"/>
              <w:right w:w="100" w:type="dxa"/>
            </w:tcMar>
          </w:tcPr>
          <w:p w14:paraId="66F71F16" w14:textId="77777777" w:rsidR="00652408" w:rsidRPr="00A2271A" w:rsidRDefault="00652408" w:rsidP="0097037F">
            <w:pPr>
              <w:rPr>
                <w:rFonts w:ascii="Lato" w:hAnsi="Lato"/>
                <w:lang w:val="en-GB"/>
              </w:rPr>
            </w:pPr>
            <w:r w:rsidRPr="00A2271A">
              <w:rPr>
                <w:rFonts w:ascii="Lato" w:hAnsi="Lato"/>
                <w:b/>
                <w:bCs/>
                <w:color w:val="FFFFFF"/>
                <w:sz w:val="18"/>
                <w:szCs w:val="18"/>
                <w:lang w:val="en-GB"/>
              </w:rPr>
              <w:t>Indicative Timeline</w:t>
            </w:r>
          </w:p>
        </w:tc>
      </w:tr>
      <w:tr w:rsidR="00652408" w:rsidRPr="00A2271A" w14:paraId="6FBE415F" w14:textId="77777777" w:rsidTr="0097037F">
        <w:tc>
          <w:tcPr>
            <w:tcW w:w="6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45776B3E" w14:textId="77777777" w:rsidR="00652408" w:rsidRPr="00A2271A" w:rsidRDefault="00652408" w:rsidP="0097037F">
            <w:pPr>
              <w:rPr>
                <w:rFonts w:ascii="Lato" w:hAnsi="Lato"/>
                <w:lang w:val="en-GB"/>
              </w:rPr>
            </w:pPr>
            <w:r w:rsidRPr="00A2271A">
              <w:rPr>
                <w:rFonts w:ascii="Lato" w:hAnsi="Lato"/>
                <w:b/>
                <w:bCs/>
                <w:sz w:val="18"/>
                <w:szCs w:val="18"/>
                <w:lang w:val="en-GB"/>
              </w:rPr>
              <w:t>1</w:t>
            </w:r>
          </w:p>
        </w:tc>
        <w:tc>
          <w:tcPr>
            <w:tcW w:w="416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115A023E" w14:textId="77777777" w:rsidR="00652408" w:rsidRPr="00A2271A" w:rsidRDefault="00652408" w:rsidP="0097037F">
            <w:pPr>
              <w:rPr>
                <w:rFonts w:ascii="Lato" w:hAnsi="Lato"/>
                <w:lang w:val="en-GB"/>
              </w:rPr>
            </w:pPr>
            <w:r w:rsidRPr="00A2271A">
              <w:rPr>
                <w:rFonts w:ascii="Lato" w:hAnsi="Lato"/>
                <w:sz w:val="18"/>
                <w:szCs w:val="18"/>
                <w:lang w:val="en-GB"/>
              </w:rPr>
              <w:t>Inception Report: methodology, work plan, stakeholder engagement strategy, data collection tools, and roles &amp; responsibilities</w:t>
            </w:r>
          </w:p>
        </w:tc>
        <w:tc>
          <w:tcPr>
            <w:tcW w:w="24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4514BA66" w14:textId="77777777" w:rsidR="00652408" w:rsidRPr="00A2271A" w:rsidRDefault="00652408" w:rsidP="0097037F">
            <w:pPr>
              <w:rPr>
                <w:rFonts w:ascii="Lato" w:hAnsi="Lato"/>
                <w:lang w:val="en-GB"/>
              </w:rPr>
            </w:pPr>
            <w:r w:rsidRPr="00A2271A">
              <w:rPr>
                <w:rFonts w:ascii="Lato" w:hAnsi="Lato"/>
                <w:sz w:val="18"/>
                <w:szCs w:val="18"/>
                <w:lang w:val="en-GB"/>
              </w:rPr>
              <w:t>Word document + presentation</w:t>
            </w:r>
          </w:p>
        </w:tc>
        <w:tc>
          <w:tcPr>
            <w:tcW w:w="22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473FA589" w14:textId="77777777" w:rsidR="00652408" w:rsidRPr="00A2271A" w:rsidRDefault="00652408" w:rsidP="0097037F">
            <w:pPr>
              <w:rPr>
                <w:rFonts w:ascii="Lato" w:hAnsi="Lato"/>
                <w:lang w:val="en-GB"/>
              </w:rPr>
            </w:pPr>
            <w:r w:rsidRPr="00A2271A">
              <w:rPr>
                <w:rFonts w:ascii="Lato" w:hAnsi="Lato"/>
                <w:sz w:val="18"/>
                <w:szCs w:val="18"/>
                <w:lang w:val="en-GB"/>
              </w:rPr>
              <w:t>Weeks 1–3</w:t>
            </w:r>
          </w:p>
        </w:tc>
      </w:tr>
      <w:tr w:rsidR="00652408" w:rsidRPr="00A2271A" w14:paraId="39A74CD6" w14:textId="77777777" w:rsidTr="0097037F">
        <w:tc>
          <w:tcPr>
            <w:tcW w:w="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0DEDA16" w14:textId="77777777" w:rsidR="00652408" w:rsidRPr="00A2271A" w:rsidRDefault="00652408" w:rsidP="0097037F">
            <w:pPr>
              <w:rPr>
                <w:rFonts w:ascii="Lato" w:hAnsi="Lato"/>
                <w:lang w:val="en-GB"/>
              </w:rPr>
            </w:pPr>
            <w:r w:rsidRPr="00A2271A">
              <w:rPr>
                <w:rFonts w:ascii="Lato" w:hAnsi="Lato"/>
                <w:b/>
                <w:bCs/>
                <w:sz w:val="18"/>
                <w:szCs w:val="18"/>
                <w:lang w:val="en-GB"/>
              </w:rPr>
              <w:t>2</w:t>
            </w:r>
          </w:p>
        </w:tc>
        <w:tc>
          <w:tcPr>
            <w:tcW w:w="4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0617282" w14:textId="77777777" w:rsidR="00652408" w:rsidRPr="00A2271A" w:rsidRDefault="00652408" w:rsidP="0097037F">
            <w:pPr>
              <w:rPr>
                <w:rFonts w:ascii="Lato" w:hAnsi="Lato"/>
                <w:lang w:val="en-GB"/>
              </w:rPr>
            </w:pPr>
            <w:r w:rsidRPr="00A2271A">
              <w:rPr>
                <w:rFonts w:ascii="Lato" w:hAnsi="Lato"/>
                <w:sz w:val="18"/>
                <w:szCs w:val="18"/>
                <w:lang w:val="en-GB"/>
              </w:rPr>
              <w:t>ESA 2026 Draft Report (all components: context, sub-sector analysis, system capacity, financing)</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572AA16" w14:textId="77777777" w:rsidR="00652408" w:rsidRPr="00A2271A" w:rsidRDefault="00652408" w:rsidP="0097037F">
            <w:pPr>
              <w:rPr>
                <w:rFonts w:ascii="Lato" w:hAnsi="Lato"/>
                <w:lang w:val="en-GB"/>
              </w:rPr>
            </w:pPr>
            <w:r w:rsidRPr="00A2271A">
              <w:rPr>
                <w:rFonts w:ascii="Lato" w:hAnsi="Lato"/>
                <w:sz w:val="18"/>
                <w:szCs w:val="18"/>
                <w:lang w:val="en-GB"/>
              </w:rPr>
              <w:t>Word document</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AF3E50F" w14:textId="77777777" w:rsidR="00652408" w:rsidRPr="00A2271A" w:rsidRDefault="00652408" w:rsidP="0097037F">
            <w:pPr>
              <w:rPr>
                <w:rFonts w:ascii="Lato" w:hAnsi="Lato"/>
                <w:lang w:val="en-GB"/>
              </w:rPr>
            </w:pPr>
            <w:r w:rsidRPr="00A2271A">
              <w:rPr>
                <w:rFonts w:ascii="Lato" w:hAnsi="Lato"/>
                <w:sz w:val="18"/>
                <w:szCs w:val="18"/>
                <w:lang w:val="en-GB"/>
              </w:rPr>
              <w:t>Months 3–5</w:t>
            </w:r>
          </w:p>
        </w:tc>
      </w:tr>
      <w:tr w:rsidR="00652408" w:rsidRPr="00A2271A" w14:paraId="7DAAF654" w14:textId="77777777" w:rsidTr="0097037F">
        <w:tc>
          <w:tcPr>
            <w:tcW w:w="6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623B8628" w14:textId="77777777" w:rsidR="00652408" w:rsidRPr="00A2271A" w:rsidRDefault="00652408" w:rsidP="0097037F">
            <w:pPr>
              <w:rPr>
                <w:rFonts w:ascii="Lato" w:hAnsi="Lato"/>
                <w:lang w:val="en-GB"/>
              </w:rPr>
            </w:pPr>
            <w:r w:rsidRPr="00A2271A">
              <w:rPr>
                <w:rFonts w:ascii="Lato" w:hAnsi="Lato"/>
                <w:b/>
                <w:bCs/>
                <w:sz w:val="18"/>
                <w:szCs w:val="18"/>
                <w:lang w:val="en-GB"/>
              </w:rPr>
              <w:t>3</w:t>
            </w:r>
          </w:p>
        </w:tc>
        <w:tc>
          <w:tcPr>
            <w:tcW w:w="416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20969343" w14:textId="77777777" w:rsidR="00652408" w:rsidRPr="00A2271A" w:rsidRDefault="00652408" w:rsidP="0097037F">
            <w:pPr>
              <w:rPr>
                <w:rFonts w:ascii="Lato" w:hAnsi="Lato"/>
                <w:lang w:val="en-GB"/>
              </w:rPr>
            </w:pPr>
            <w:r w:rsidRPr="00A2271A">
              <w:rPr>
                <w:rFonts w:ascii="Lato" w:hAnsi="Lato"/>
                <w:sz w:val="18"/>
                <w:szCs w:val="18"/>
                <w:lang w:val="en-GB"/>
              </w:rPr>
              <w:t>End-of-Cycle Assessment Report for ESSP 2022–2026</w:t>
            </w:r>
          </w:p>
        </w:tc>
        <w:tc>
          <w:tcPr>
            <w:tcW w:w="24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4B9C25F0" w14:textId="77777777" w:rsidR="00652408" w:rsidRPr="00A2271A" w:rsidRDefault="00652408" w:rsidP="0097037F">
            <w:pPr>
              <w:rPr>
                <w:rFonts w:ascii="Lato" w:hAnsi="Lato"/>
                <w:lang w:val="en-GB"/>
              </w:rPr>
            </w:pPr>
            <w:r w:rsidRPr="00A2271A">
              <w:rPr>
                <w:rFonts w:ascii="Lato" w:hAnsi="Lato"/>
                <w:sz w:val="18"/>
                <w:szCs w:val="18"/>
                <w:lang w:val="en-GB"/>
              </w:rPr>
              <w:t>Word document</w:t>
            </w:r>
          </w:p>
        </w:tc>
        <w:tc>
          <w:tcPr>
            <w:tcW w:w="22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406855A8" w14:textId="77777777" w:rsidR="00652408" w:rsidRPr="00A2271A" w:rsidRDefault="00652408" w:rsidP="0097037F">
            <w:pPr>
              <w:rPr>
                <w:rFonts w:ascii="Lato" w:hAnsi="Lato"/>
                <w:lang w:val="en-GB"/>
              </w:rPr>
            </w:pPr>
            <w:r w:rsidRPr="00A2271A">
              <w:rPr>
                <w:rFonts w:ascii="Lato" w:hAnsi="Lato"/>
                <w:sz w:val="18"/>
                <w:szCs w:val="18"/>
                <w:lang w:val="en-GB"/>
              </w:rPr>
              <w:t>Month 4–5</w:t>
            </w:r>
          </w:p>
        </w:tc>
      </w:tr>
      <w:tr w:rsidR="00652408" w:rsidRPr="00A2271A" w14:paraId="07D3239A" w14:textId="77777777" w:rsidTr="0097037F">
        <w:tc>
          <w:tcPr>
            <w:tcW w:w="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2B8EEBA" w14:textId="77777777" w:rsidR="00652408" w:rsidRPr="00A2271A" w:rsidRDefault="00652408" w:rsidP="0097037F">
            <w:pPr>
              <w:rPr>
                <w:rFonts w:ascii="Lato" w:hAnsi="Lato"/>
                <w:lang w:val="en-GB"/>
              </w:rPr>
            </w:pPr>
            <w:r w:rsidRPr="00A2271A">
              <w:rPr>
                <w:rFonts w:ascii="Lato" w:hAnsi="Lato"/>
                <w:b/>
                <w:bCs/>
                <w:sz w:val="18"/>
                <w:szCs w:val="18"/>
                <w:lang w:val="en-GB"/>
              </w:rPr>
              <w:t>4</w:t>
            </w:r>
          </w:p>
        </w:tc>
        <w:tc>
          <w:tcPr>
            <w:tcW w:w="4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BAB12F0" w14:textId="77777777" w:rsidR="00652408" w:rsidRPr="00A2271A" w:rsidRDefault="00652408" w:rsidP="0097037F">
            <w:pPr>
              <w:rPr>
                <w:rFonts w:ascii="Lato" w:hAnsi="Lato"/>
                <w:lang w:val="en-GB"/>
              </w:rPr>
            </w:pPr>
            <w:r w:rsidRPr="00A2271A">
              <w:rPr>
                <w:rFonts w:ascii="Lato" w:hAnsi="Lato"/>
                <w:sz w:val="18"/>
                <w:szCs w:val="18"/>
                <w:lang w:val="en-GB"/>
              </w:rPr>
              <w:t>ESA 2026 Synthesis Report (integrating ESA and ESSP assessment findings) — Draft and Final versions</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D0251F5" w14:textId="77777777" w:rsidR="00652408" w:rsidRPr="00A2271A" w:rsidRDefault="00652408" w:rsidP="0097037F">
            <w:pPr>
              <w:rPr>
                <w:rFonts w:ascii="Lato" w:hAnsi="Lato"/>
                <w:lang w:val="en-GB"/>
              </w:rPr>
            </w:pPr>
            <w:r w:rsidRPr="00A2271A">
              <w:rPr>
                <w:rFonts w:ascii="Lato" w:hAnsi="Lato"/>
                <w:sz w:val="18"/>
                <w:szCs w:val="18"/>
                <w:lang w:val="en-GB"/>
              </w:rPr>
              <w:t>Word document (max 150 pages) + Executive Summary (max 15 pages)</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D0F1CDD" w14:textId="77777777" w:rsidR="00652408" w:rsidRPr="00A2271A" w:rsidRDefault="00652408" w:rsidP="0097037F">
            <w:pPr>
              <w:rPr>
                <w:rFonts w:ascii="Lato" w:hAnsi="Lato"/>
                <w:lang w:val="en-GB"/>
              </w:rPr>
            </w:pPr>
            <w:r w:rsidRPr="00A2271A">
              <w:rPr>
                <w:rFonts w:ascii="Lato" w:hAnsi="Lato"/>
                <w:sz w:val="18"/>
                <w:szCs w:val="18"/>
                <w:lang w:val="en-GB"/>
              </w:rPr>
              <w:t>Month 5–6</w:t>
            </w:r>
          </w:p>
        </w:tc>
      </w:tr>
      <w:tr w:rsidR="00652408" w:rsidRPr="00A2271A" w14:paraId="5D52F227" w14:textId="77777777" w:rsidTr="0097037F">
        <w:tc>
          <w:tcPr>
            <w:tcW w:w="6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4A099234" w14:textId="77777777" w:rsidR="00652408" w:rsidRPr="00A2271A" w:rsidRDefault="00652408" w:rsidP="0097037F">
            <w:pPr>
              <w:rPr>
                <w:rFonts w:ascii="Lato" w:hAnsi="Lato"/>
                <w:lang w:val="en-GB"/>
              </w:rPr>
            </w:pPr>
            <w:r w:rsidRPr="00A2271A">
              <w:rPr>
                <w:rFonts w:ascii="Lato" w:hAnsi="Lato"/>
                <w:b/>
                <w:bCs/>
                <w:sz w:val="18"/>
                <w:szCs w:val="18"/>
                <w:lang w:val="en-GB"/>
              </w:rPr>
              <w:t>5</w:t>
            </w:r>
          </w:p>
        </w:tc>
        <w:tc>
          <w:tcPr>
            <w:tcW w:w="416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6C3AA4C3" w14:textId="77777777" w:rsidR="00652408" w:rsidRPr="00A2271A" w:rsidRDefault="00652408" w:rsidP="0097037F">
            <w:pPr>
              <w:rPr>
                <w:rFonts w:ascii="Lato" w:hAnsi="Lato"/>
                <w:lang w:val="en-GB"/>
              </w:rPr>
            </w:pPr>
            <w:r w:rsidRPr="00A2271A">
              <w:rPr>
                <w:rFonts w:ascii="Lato" w:hAnsi="Lato"/>
                <w:sz w:val="18"/>
                <w:szCs w:val="18"/>
                <w:lang w:val="en-GB"/>
              </w:rPr>
              <w:t>Stakeholder Validation Workshop: ESA findings and recommendations</w:t>
            </w:r>
          </w:p>
        </w:tc>
        <w:tc>
          <w:tcPr>
            <w:tcW w:w="24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20CFBECF" w14:textId="77777777" w:rsidR="00652408" w:rsidRPr="00A2271A" w:rsidRDefault="00652408" w:rsidP="0097037F">
            <w:pPr>
              <w:rPr>
                <w:rFonts w:ascii="Lato" w:hAnsi="Lato"/>
                <w:lang w:val="en-GB"/>
              </w:rPr>
            </w:pPr>
            <w:r w:rsidRPr="00A2271A">
              <w:rPr>
                <w:rFonts w:ascii="Lato" w:hAnsi="Lato"/>
                <w:sz w:val="18"/>
                <w:szCs w:val="18"/>
                <w:lang w:val="en-GB"/>
              </w:rPr>
              <w:t>Workshop facilitation + PowerPoint</w:t>
            </w:r>
          </w:p>
        </w:tc>
        <w:tc>
          <w:tcPr>
            <w:tcW w:w="22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5CD7C950" w14:textId="77777777" w:rsidR="00652408" w:rsidRPr="00A2271A" w:rsidRDefault="00652408" w:rsidP="0097037F">
            <w:pPr>
              <w:rPr>
                <w:rFonts w:ascii="Lato" w:hAnsi="Lato"/>
                <w:lang w:val="en-GB"/>
              </w:rPr>
            </w:pPr>
            <w:r w:rsidRPr="00A2271A">
              <w:rPr>
                <w:rFonts w:ascii="Lato" w:hAnsi="Lato"/>
                <w:sz w:val="18"/>
                <w:szCs w:val="18"/>
                <w:lang w:val="en-GB"/>
              </w:rPr>
              <w:t>Month 6</w:t>
            </w:r>
          </w:p>
        </w:tc>
      </w:tr>
      <w:tr w:rsidR="00652408" w:rsidRPr="00A2271A" w14:paraId="3934CD13" w14:textId="77777777" w:rsidTr="0097037F">
        <w:tc>
          <w:tcPr>
            <w:tcW w:w="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220B82E" w14:textId="77777777" w:rsidR="00652408" w:rsidRPr="00A2271A" w:rsidRDefault="00652408" w:rsidP="0097037F">
            <w:pPr>
              <w:rPr>
                <w:rFonts w:ascii="Lato" w:hAnsi="Lato"/>
                <w:lang w:val="en-GB"/>
              </w:rPr>
            </w:pPr>
            <w:r w:rsidRPr="00A2271A">
              <w:rPr>
                <w:rFonts w:ascii="Lato" w:hAnsi="Lato"/>
                <w:b/>
                <w:bCs/>
                <w:sz w:val="18"/>
                <w:szCs w:val="18"/>
                <w:lang w:val="en-GB"/>
              </w:rPr>
              <w:t>6</w:t>
            </w:r>
          </w:p>
        </w:tc>
        <w:tc>
          <w:tcPr>
            <w:tcW w:w="4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C4699C5" w14:textId="77777777" w:rsidR="00652408" w:rsidRPr="00A2271A" w:rsidRDefault="00652408" w:rsidP="0097037F">
            <w:pPr>
              <w:rPr>
                <w:rFonts w:ascii="Lato" w:hAnsi="Lato"/>
                <w:lang w:val="en-GB"/>
              </w:rPr>
            </w:pPr>
            <w:r w:rsidRPr="00A2271A">
              <w:rPr>
                <w:rFonts w:ascii="Lato" w:hAnsi="Lato"/>
                <w:sz w:val="18"/>
                <w:szCs w:val="18"/>
                <w:lang w:val="en-GB"/>
              </w:rPr>
              <w:t>Education Simulation Model for costing ESSP 2027–2031 (two financing scenarios)</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B860B55" w14:textId="77777777" w:rsidR="00652408" w:rsidRPr="00A2271A" w:rsidRDefault="00652408" w:rsidP="0097037F">
            <w:pPr>
              <w:rPr>
                <w:rFonts w:ascii="Lato" w:hAnsi="Lato"/>
                <w:lang w:val="en-GB"/>
              </w:rPr>
            </w:pPr>
            <w:r w:rsidRPr="00A2271A">
              <w:rPr>
                <w:rFonts w:ascii="Lato" w:hAnsi="Lato"/>
                <w:sz w:val="18"/>
                <w:szCs w:val="18"/>
                <w:lang w:val="en-GB"/>
              </w:rPr>
              <w:t>Excel/Simulation tool</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06DA3E0" w14:textId="77777777" w:rsidR="00652408" w:rsidRPr="00A2271A" w:rsidRDefault="00652408" w:rsidP="0097037F">
            <w:pPr>
              <w:rPr>
                <w:rFonts w:ascii="Lato" w:hAnsi="Lato"/>
                <w:lang w:val="en-GB"/>
              </w:rPr>
            </w:pPr>
            <w:r w:rsidRPr="00A2271A">
              <w:rPr>
                <w:rFonts w:ascii="Lato" w:hAnsi="Lato"/>
                <w:sz w:val="18"/>
                <w:szCs w:val="18"/>
                <w:lang w:val="en-GB"/>
              </w:rPr>
              <w:t>Month 6–7</w:t>
            </w:r>
          </w:p>
        </w:tc>
      </w:tr>
      <w:tr w:rsidR="00652408" w:rsidRPr="00A2271A" w14:paraId="7DB6DBC6" w14:textId="77777777" w:rsidTr="0097037F">
        <w:tc>
          <w:tcPr>
            <w:tcW w:w="6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39AC1FC1" w14:textId="77777777" w:rsidR="00652408" w:rsidRPr="00A2271A" w:rsidRDefault="00652408" w:rsidP="0097037F">
            <w:pPr>
              <w:rPr>
                <w:rFonts w:ascii="Lato" w:hAnsi="Lato"/>
                <w:lang w:val="en-GB"/>
              </w:rPr>
            </w:pPr>
            <w:r w:rsidRPr="00A2271A">
              <w:rPr>
                <w:rFonts w:ascii="Lato" w:hAnsi="Lato"/>
                <w:b/>
                <w:bCs/>
                <w:sz w:val="18"/>
                <w:szCs w:val="18"/>
                <w:lang w:val="en-GB"/>
              </w:rPr>
              <w:t>7</w:t>
            </w:r>
          </w:p>
        </w:tc>
        <w:tc>
          <w:tcPr>
            <w:tcW w:w="416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1B4AFE64" w14:textId="77777777" w:rsidR="00652408" w:rsidRPr="00A2271A" w:rsidRDefault="00652408" w:rsidP="0097037F">
            <w:pPr>
              <w:rPr>
                <w:rFonts w:ascii="Lato" w:hAnsi="Lato"/>
                <w:lang w:val="en-GB"/>
              </w:rPr>
            </w:pPr>
            <w:r w:rsidRPr="00A2271A">
              <w:rPr>
                <w:rFonts w:ascii="Lato" w:hAnsi="Lato"/>
                <w:sz w:val="18"/>
                <w:szCs w:val="18"/>
                <w:lang w:val="en-GB"/>
              </w:rPr>
              <w:t>Draft ESSP 2027–2031 (strategic framework, sub-sector chapters, system capacity, M&amp;E framework, risk register)</w:t>
            </w:r>
          </w:p>
        </w:tc>
        <w:tc>
          <w:tcPr>
            <w:tcW w:w="24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270DFC8D" w14:textId="77777777" w:rsidR="00652408" w:rsidRPr="00A2271A" w:rsidRDefault="00652408" w:rsidP="0097037F">
            <w:pPr>
              <w:rPr>
                <w:rFonts w:ascii="Lato" w:hAnsi="Lato"/>
                <w:lang w:val="en-GB"/>
              </w:rPr>
            </w:pPr>
            <w:r w:rsidRPr="00A2271A">
              <w:rPr>
                <w:rFonts w:ascii="Lato" w:hAnsi="Lato"/>
                <w:sz w:val="18"/>
                <w:szCs w:val="18"/>
                <w:lang w:val="en-GB"/>
              </w:rPr>
              <w:t>Word document</w:t>
            </w:r>
          </w:p>
        </w:tc>
        <w:tc>
          <w:tcPr>
            <w:tcW w:w="22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5E9E65DE" w14:textId="77777777" w:rsidR="00652408" w:rsidRPr="00A2271A" w:rsidRDefault="00652408" w:rsidP="0097037F">
            <w:pPr>
              <w:rPr>
                <w:rFonts w:ascii="Lato" w:hAnsi="Lato"/>
                <w:lang w:val="en-GB"/>
              </w:rPr>
            </w:pPr>
            <w:r w:rsidRPr="00A2271A">
              <w:rPr>
                <w:rFonts w:ascii="Lato" w:hAnsi="Lato"/>
                <w:sz w:val="18"/>
                <w:szCs w:val="18"/>
                <w:lang w:val="en-GB"/>
              </w:rPr>
              <w:t>Months 7–8</w:t>
            </w:r>
          </w:p>
        </w:tc>
      </w:tr>
      <w:tr w:rsidR="00652408" w:rsidRPr="00A2271A" w14:paraId="1A51BEAF" w14:textId="77777777" w:rsidTr="0097037F">
        <w:tc>
          <w:tcPr>
            <w:tcW w:w="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B1A2ADF" w14:textId="77777777" w:rsidR="00652408" w:rsidRPr="00A2271A" w:rsidRDefault="00652408" w:rsidP="0097037F">
            <w:pPr>
              <w:rPr>
                <w:rFonts w:ascii="Lato" w:hAnsi="Lato"/>
                <w:lang w:val="en-GB"/>
              </w:rPr>
            </w:pPr>
            <w:r w:rsidRPr="00A2271A">
              <w:rPr>
                <w:rFonts w:ascii="Lato" w:hAnsi="Lato"/>
                <w:b/>
                <w:bCs/>
                <w:sz w:val="18"/>
                <w:szCs w:val="18"/>
                <w:lang w:val="en-GB"/>
              </w:rPr>
              <w:t>8</w:t>
            </w:r>
          </w:p>
        </w:tc>
        <w:tc>
          <w:tcPr>
            <w:tcW w:w="4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5EB953C" w14:textId="77777777" w:rsidR="00652408" w:rsidRPr="00A2271A" w:rsidRDefault="00652408" w:rsidP="0097037F">
            <w:pPr>
              <w:rPr>
                <w:rFonts w:ascii="Lato" w:hAnsi="Lato"/>
                <w:lang w:val="en-GB"/>
              </w:rPr>
            </w:pPr>
            <w:r w:rsidRPr="00A2271A">
              <w:rPr>
                <w:rFonts w:ascii="Lato" w:hAnsi="Lato"/>
                <w:sz w:val="18"/>
                <w:szCs w:val="18"/>
                <w:lang w:val="en-GB"/>
              </w:rPr>
              <w:t>Costed Three-Year Action Plan 2027–2029</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9C9121D" w14:textId="77777777" w:rsidR="00652408" w:rsidRPr="00A2271A" w:rsidRDefault="00652408" w:rsidP="0097037F">
            <w:pPr>
              <w:rPr>
                <w:rFonts w:ascii="Lato" w:hAnsi="Lato"/>
                <w:lang w:val="en-GB"/>
              </w:rPr>
            </w:pPr>
            <w:r w:rsidRPr="00A2271A">
              <w:rPr>
                <w:rFonts w:ascii="Lato" w:hAnsi="Lato"/>
                <w:sz w:val="18"/>
                <w:szCs w:val="18"/>
                <w:lang w:val="en-GB"/>
              </w:rPr>
              <w:t>Word + Excel</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1C8AAEA" w14:textId="77777777" w:rsidR="00652408" w:rsidRPr="00A2271A" w:rsidRDefault="00652408" w:rsidP="0097037F">
            <w:pPr>
              <w:rPr>
                <w:rFonts w:ascii="Lato" w:hAnsi="Lato"/>
                <w:lang w:val="en-GB"/>
              </w:rPr>
            </w:pPr>
            <w:r w:rsidRPr="00A2271A">
              <w:rPr>
                <w:rFonts w:ascii="Lato" w:hAnsi="Lato"/>
                <w:sz w:val="18"/>
                <w:szCs w:val="18"/>
                <w:lang w:val="en-GB"/>
              </w:rPr>
              <w:t>Month 8</w:t>
            </w:r>
          </w:p>
        </w:tc>
      </w:tr>
      <w:tr w:rsidR="00652408" w:rsidRPr="00A2271A" w14:paraId="197889A2" w14:textId="77777777" w:rsidTr="0097037F">
        <w:tc>
          <w:tcPr>
            <w:tcW w:w="6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4D0CF3B9" w14:textId="77777777" w:rsidR="00652408" w:rsidRPr="00A2271A" w:rsidRDefault="00652408" w:rsidP="0097037F">
            <w:pPr>
              <w:rPr>
                <w:rFonts w:ascii="Lato" w:hAnsi="Lato"/>
                <w:lang w:val="en-GB"/>
              </w:rPr>
            </w:pPr>
            <w:r w:rsidRPr="00A2271A">
              <w:rPr>
                <w:rFonts w:ascii="Lato" w:hAnsi="Lato"/>
                <w:b/>
                <w:bCs/>
                <w:sz w:val="18"/>
                <w:szCs w:val="18"/>
                <w:lang w:val="en-GB"/>
              </w:rPr>
              <w:t>9</w:t>
            </w:r>
          </w:p>
        </w:tc>
        <w:tc>
          <w:tcPr>
            <w:tcW w:w="416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04EEEA3C" w14:textId="77777777" w:rsidR="00652408" w:rsidRPr="00A2271A" w:rsidRDefault="00652408" w:rsidP="0097037F">
            <w:pPr>
              <w:rPr>
                <w:rFonts w:ascii="Lato" w:hAnsi="Lato"/>
                <w:lang w:val="en-GB"/>
              </w:rPr>
            </w:pPr>
            <w:r w:rsidRPr="00A2271A">
              <w:rPr>
                <w:rFonts w:ascii="Lato" w:hAnsi="Lato"/>
                <w:sz w:val="18"/>
                <w:szCs w:val="18"/>
                <w:lang w:val="en-GB"/>
              </w:rPr>
              <w:t>National Validation Conference: Draft ESSP 2027–2031 presentation and consultation</w:t>
            </w:r>
          </w:p>
        </w:tc>
        <w:tc>
          <w:tcPr>
            <w:tcW w:w="24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5C9CB418" w14:textId="77777777" w:rsidR="00652408" w:rsidRPr="00A2271A" w:rsidRDefault="00652408" w:rsidP="0097037F">
            <w:pPr>
              <w:rPr>
                <w:rFonts w:ascii="Lato" w:hAnsi="Lato"/>
                <w:lang w:val="en-GB"/>
              </w:rPr>
            </w:pPr>
            <w:r w:rsidRPr="00A2271A">
              <w:rPr>
                <w:rFonts w:ascii="Lato" w:hAnsi="Lato"/>
                <w:sz w:val="18"/>
                <w:szCs w:val="18"/>
                <w:lang w:val="en-GB"/>
              </w:rPr>
              <w:t>Workshop facilitation + PowerPoint</w:t>
            </w:r>
          </w:p>
        </w:tc>
        <w:tc>
          <w:tcPr>
            <w:tcW w:w="22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02B5F4AF" w14:textId="77777777" w:rsidR="00652408" w:rsidRPr="00A2271A" w:rsidRDefault="00652408" w:rsidP="0097037F">
            <w:pPr>
              <w:rPr>
                <w:rFonts w:ascii="Lato" w:hAnsi="Lato"/>
                <w:lang w:val="en-GB"/>
              </w:rPr>
            </w:pPr>
            <w:r w:rsidRPr="00A2271A">
              <w:rPr>
                <w:rFonts w:ascii="Lato" w:hAnsi="Lato"/>
                <w:sz w:val="18"/>
                <w:szCs w:val="18"/>
                <w:lang w:val="en-GB"/>
              </w:rPr>
              <w:t>Month 9</w:t>
            </w:r>
          </w:p>
        </w:tc>
      </w:tr>
      <w:tr w:rsidR="00652408" w:rsidRPr="00A2271A" w14:paraId="554E18A0" w14:textId="77777777" w:rsidTr="0097037F">
        <w:tc>
          <w:tcPr>
            <w:tcW w:w="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044DE33" w14:textId="77777777" w:rsidR="00652408" w:rsidRPr="00A2271A" w:rsidRDefault="00652408" w:rsidP="0097037F">
            <w:pPr>
              <w:rPr>
                <w:rFonts w:ascii="Lato" w:hAnsi="Lato"/>
                <w:lang w:val="en-GB"/>
              </w:rPr>
            </w:pPr>
            <w:r w:rsidRPr="00A2271A">
              <w:rPr>
                <w:rFonts w:ascii="Lato" w:hAnsi="Lato"/>
                <w:b/>
                <w:bCs/>
                <w:sz w:val="18"/>
                <w:szCs w:val="18"/>
                <w:lang w:val="en-GB"/>
              </w:rPr>
              <w:t>10</w:t>
            </w:r>
          </w:p>
        </w:tc>
        <w:tc>
          <w:tcPr>
            <w:tcW w:w="4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D0D2CE9" w14:textId="77777777" w:rsidR="00652408" w:rsidRPr="00A2271A" w:rsidRDefault="00652408" w:rsidP="0097037F">
            <w:pPr>
              <w:rPr>
                <w:rFonts w:ascii="Lato" w:hAnsi="Lato"/>
                <w:lang w:val="en-GB"/>
              </w:rPr>
            </w:pPr>
            <w:r w:rsidRPr="00A2271A">
              <w:rPr>
                <w:rFonts w:ascii="Lato" w:hAnsi="Lato"/>
                <w:sz w:val="18"/>
                <w:szCs w:val="18"/>
                <w:lang w:val="en-GB"/>
              </w:rPr>
              <w:t>Final ESSP 2027–2031 document (incorporating all validated feedback)</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D80AD13" w14:textId="77777777" w:rsidR="00652408" w:rsidRPr="00A2271A" w:rsidRDefault="00652408" w:rsidP="0097037F">
            <w:pPr>
              <w:rPr>
                <w:rFonts w:ascii="Lato" w:hAnsi="Lato"/>
                <w:lang w:val="en-GB"/>
              </w:rPr>
            </w:pPr>
            <w:r w:rsidRPr="00A2271A">
              <w:rPr>
                <w:rFonts w:ascii="Lato" w:hAnsi="Lato"/>
                <w:sz w:val="18"/>
                <w:szCs w:val="18"/>
                <w:lang w:val="en-GB"/>
              </w:rPr>
              <w:t>Hard and soft copies (Word + PDF)</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C7CA836" w14:textId="77777777" w:rsidR="00652408" w:rsidRPr="00A2271A" w:rsidRDefault="00652408" w:rsidP="0097037F">
            <w:pPr>
              <w:rPr>
                <w:rFonts w:ascii="Lato" w:hAnsi="Lato"/>
                <w:lang w:val="en-GB"/>
              </w:rPr>
            </w:pPr>
            <w:r w:rsidRPr="00A2271A">
              <w:rPr>
                <w:rFonts w:ascii="Lato" w:hAnsi="Lato"/>
                <w:sz w:val="18"/>
                <w:szCs w:val="18"/>
                <w:lang w:val="en-GB"/>
              </w:rPr>
              <w:t>Month 10–12</w:t>
            </w:r>
          </w:p>
        </w:tc>
      </w:tr>
      <w:tr w:rsidR="00652408" w:rsidRPr="00A2271A" w14:paraId="091442A5" w14:textId="77777777" w:rsidTr="0097037F">
        <w:tc>
          <w:tcPr>
            <w:tcW w:w="6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30139974" w14:textId="77777777" w:rsidR="00652408" w:rsidRPr="00A2271A" w:rsidRDefault="00652408" w:rsidP="0097037F">
            <w:pPr>
              <w:rPr>
                <w:rFonts w:ascii="Lato" w:hAnsi="Lato"/>
                <w:lang w:val="en-GB"/>
              </w:rPr>
            </w:pPr>
            <w:r w:rsidRPr="00A2271A">
              <w:rPr>
                <w:rFonts w:ascii="Lato" w:hAnsi="Lato"/>
                <w:b/>
                <w:bCs/>
                <w:sz w:val="18"/>
                <w:szCs w:val="18"/>
                <w:lang w:val="en-GB"/>
              </w:rPr>
              <w:lastRenderedPageBreak/>
              <w:t>11</w:t>
            </w:r>
          </w:p>
        </w:tc>
        <w:tc>
          <w:tcPr>
            <w:tcW w:w="416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7AF2BD1F" w14:textId="77777777" w:rsidR="00652408" w:rsidRPr="00A2271A" w:rsidRDefault="00652408" w:rsidP="0097037F">
            <w:pPr>
              <w:rPr>
                <w:rFonts w:ascii="Lato" w:hAnsi="Lato"/>
                <w:lang w:val="en-GB"/>
              </w:rPr>
            </w:pPr>
            <w:r w:rsidRPr="00A2271A">
              <w:rPr>
                <w:rFonts w:ascii="Lato" w:hAnsi="Lato"/>
                <w:sz w:val="18"/>
                <w:szCs w:val="18"/>
                <w:lang w:val="en-GB"/>
              </w:rPr>
              <w:t>Final ESA 2026 Synthesis Report (incorporating all validated feedback)</w:t>
            </w:r>
          </w:p>
        </w:tc>
        <w:tc>
          <w:tcPr>
            <w:tcW w:w="24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4D4E4120" w14:textId="77777777" w:rsidR="00652408" w:rsidRPr="00A2271A" w:rsidRDefault="00652408" w:rsidP="0097037F">
            <w:pPr>
              <w:rPr>
                <w:rFonts w:ascii="Lato" w:hAnsi="Lato"/>
                <w:lang w:val="en-GB"/>
              </w:rPr>
            </w:pPr>
            <w:r w:rsidRPr="00A2271A">
              <w:rPr>
                <w:rFonts w:ascii="Lato" w:hAnsi="Lato"/>
                <w:sz w:val="18"/>
                <w:szCs w:val="18"/>
                <w:lang w:val="en-GB"/>
              </w:rPr>
              <w:t>Hard and soft copies (Word + PDF)</w:t>
            </w:r>
          </w:p>
        </w:tc>
        <w:tc>
          <w:tcPr>
            <w:tcW w:w="22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4E2553FF" w14:textId="77777777" w:rsidR="00652408" w:rsidRPr="00A2271A" w:rsidRDefault="00652408" w:rsidP="0097037F">
            <w:pPr>
              <w:rPr>
                <w:rFonts w:ascii="Lato" w:hAnsi="Lato"/>
                <w:lang w:val="en-GB"/>
              </w:rPr>
            </w:pPr>
            <w:r w:rsidRPr="00A2271A">
              <w:rPr>
                <w:rFonts w:ascii="Lato" w:hAnsi="Lato"/>
                <w:sz w:val="18"/>
                <w:szCs w:val="18"/>
                <w:lang w:val="en-GB"/>
              </w:rPr>
              <w:t>Month 10–12</w:t>
            </w:r>
          </w:p>
        </w:tc>
      </w:tr>
    </w:tbl>
    <w:p w14:paraId="694D61B8" w14:textId="77777777" w:rsidR="00652408" w:rsidRPr="00A2271A" w:rsidRDefault="00652408" w:rsidP="00652408">
      <w:pPr>
        <w:spacing w:before="60" w:after="60"/>
        <w:rPr>
          <w:rFonts w:ascii="Lato" w:hAnsi="Lato"/>
          <w:lang w:val="en-GB"/>
        </w:rPr>
      </w:pPr>
    </w:p>
    <w:p w14:paraId="58AACF5F" w14:textId="77777777" w:rsidR="00652408" w:rsidRPr="00A2271A" w:rsidRDefault="00652408" w:rsidP="00652408">
      <w:pPr>
        <w:pStyle w:val="Heading1"/>
        <w:pBdr>
          <w:bottom w:val="single" w:sz="6" w:space="4" w:color="1F5C99"/>
        </w:pBdr>
        <w:rPr>
          <w:rFonts w:ascii="Lato" w:hAnsi="Lato"/>
          <w:lang w:val="en-GB"/>
        </w:rPr>
      </w:pPr>
      <w:r w:rsidRPr="00A2271A">
        <w:rPr>
          <w:rFonts w:ascii="Lato" w:eastAsia="Arial" w:hAnsi="Lato" w:cs="Arial"/>
          <w:b/>
          <w:bCs/>
          <w:color w:val="1F5C99"/>
          <w:sz w:val="28"/>
          <w:szCs w:val="28"/>
          <w:lang w:val="en-GB"/>
        </w:rPr>
        <w:t>6. Indicative Work Plan</w:t>
      </w:r>
    </w:p>
    <w:p w14:paraId="2BE24F32" w14:textId="77777777" w:rsidR="00652408" w:rsidRPr="00A2271A" w:rsidRDefault="00652408" w:rsidP="00652408">
      <w:pPr>
        <w:spacing w:before="80" w:after="80"/>
        <w:jc w:val="both"/>
        <w:rPr>
          <w:rFonts w:ascii="Lato" w:hAnsi="Lato"/>
          <w:lang w:val="en-GB"/>
        </w:rPr>
      </w:pPr>
      <w:r w:rsidRPr="00A2271A">
        <w:rPr>
          <w:rFonts w:ascii="Lato" w:hAnsi="Lato"/>
          <w:lang w:val="en-GB"/>
        </w:rPr>
        <w:t xml:space="preserve">The following phased work plan provides an indicative timeline for the assignment. A detailed work plan will be agreed with the </w:t>
      </w:r>
      <w:proofErr w:type="spellStart"/>
      <w:r w:rsidRPr="00A2271A">
        <w:rPr>
          <w:rFonts w:ascii="Lato" w:hAnsi="Lato"/>
          <w:lang w:val="en-GB"/>
        </w:rPr>
        <w:t>MoES</w:t>
      </w:r>
      <w:proofErr w:type="spellEnd"/>
      <w:r w:rsidRPr="00A2271A">
        <w:rPr>
          <w:rFonts w:ascii="Lato" w:hAnsi="Lato"/>
          <w:lang w:val="en-GB"/>
        </w:rPr>
        <w:t xml:space="preserve"> during the inception phase.</w:t>
      </w:r>
    </w:p>
    <w:p w14:paraId="24050948" w14:textId="77777777" w:rsidR="00652408" w:rsidRPr="00A2271A" w:rsidRDefault="00652408" w:rsidP="00652408">
      <w:pPr>
        <w:spacing w:before="60" w:after="60"/>
        <w:rPr>
          <w:rFonts w:ascii="Lato" w:hAnsi="Lato"/>
          <w:lang w:val="en-GB"/>
        </w:rPr>
      </w:pPr>
    </w:p>
    <w:tbl>
      <w:tblPr>
        <w:tblW w:w="7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440"/>
        <w:gridCol w:w="1440"/>
        <w:gridCol w:w="1440"/>
      </w:tblGrid>
      <w:tr w:rsidR="00652408" w:rsidRPr="00A2271A" w14:paraId="0126B1DE" w14:textId="77777777" w:rsidTr="0097037F">
        <w:tc>
          <w:tcPr>
            <w:tcW w:w="3000" w:type="dxa"/>
            <w:tcBorders>
              <w:top w:val="single" w:sz="1" w:space="0" w:color="1F5C99"/>
              <w:left w:val="single" w:sz="1" w:space="0" w:color="1F5C99"/>
              <w:bottom w:val="single" w:sz="1" w:space="0" w:color="1F5C99"/>
              <w:right w:val="single" w:sz="1" w:space="0" w:color="1F5C99"/>
            </w:tcBorders>
            <w:shd w:val="clear" w:color="auto" w:fill="1F5C99"/>
            <w:tcMar>
              <w:top w:w="80" w:type="dxa"/>
              <w:left w:w="100" w:type="dxa"/>
              <w:bottom w:w="80" w:type="dxa"/>
              <w:right w:w="100" w:type="dxa"/>
            </w:tcMar>
          </w:tcPr>
          <w:p w14:paraId="7041DA02" w14:textId="77777777" w:rsidR="00652408" w:rsidRPr="00A2271A" w:rsidRDefault="00652408" w:rsidP="0097037F">
            <w:pPr>
              <w:rPr>
                <w:rFonts w:ascii="Lato" w:hAnsi="Lato"/>
                <w:lang w:val="en-GB"/>
              </w:rPr>
            </w:pPr>
            <w:r w:rsidRPr="00A2271A">
              <w:rPr>
                <w:rFonts w:ascii="Lato" w:hAnsi="Lato"/>
                <w:b/>
                <w:bCs/>
                <w:color w:val="FFFFFF"/>
                <w:sz w:val="18"/>
                <w:szCs w:val="18"/>
                <w:lang w:val="en-GB"/>
              </w:rPr>
              <w:t>Phase / Key Activity</w:t>
            </w:r>
          </w:p>
        </w:tc>
        <w:tc>
          <w:tcPr>
            <w:tcW w:w="1440" w:type="dxa"/>
            <w:tcBorders>
              <w:top w:val="single" w:sz="1" w:space="0" w:color="1F5C99"/>
              <w:left w:val="single" w:sz="1" w:space="0" w:color="1F5C99"/>
              <w:bottom w:val="single" w:sz="1" w:space="0" w:color="1F5C99"/>
              <w:right w:val="single" w:sz="1" w:space="0" w:color="1F5C99"/>
            </w:tcBorders>
            <w:shd w:val="clear" w:color="auto" w:fill="1F5C99"/>
            <w:tcMar>
              <w:top w:w="80" w:type="dxa"/>
              <w:left w:w="80" w:type="dxa"/>
              <w:bottom w:w="80" w:type="dxa"/>
              <w:right w:w="80" w:type="dxa"/>
            </w:tcMar>
          </w:tcPr>
          <w:p w14:paraId="29556A2D" w14:textId="77777777" w:rsidR="00652408" w:rsidRPr="00A2271A" w:rsidRDefault="00652408" w:rsidP="0097037F">
            <w:pPr>
              <w:jc w:val="center"/>
              <w:rPr>
                <w:rFonts w:ascii="Lato" w:hAnsi="Lato"/>
                <w:lang w:val="en-GB"/>
              </w:rPr>
            </w:pPr>
            <w:r w:rsidRPr="00A2271A">
              <w:rPr>
                <w:rFonts w:ascii="Lato" w:hAnsi="Lato"/>
                <w:b/>
                <w:bCs/>
                <w:color w:val="FFFFFF"/>
                <w:sz w:val="18"/>
                <w:szCs w:val="18"/>
                <w:lang w:val="en-GB"/>
              </w:rPr>
              <w:t>Q3 2026</w:t>
            </w:r>
          </w:p>
        </w:tc>
        <w:tc>
          <w:tcPr>
            <w:tcW w:w="1440" w:type="dxa"/>
            <w:tcBorders>
              <w:top w:val="single" w:sz="1" w:space="0" w:color="1F5C99"/>
              <w:left w:val="single" w:sz="1" w:space="0" w:color="1F5C99"/>
              <w:bottom w:val="single" w:sz="1" w:space="0" w:color="1F5C99"/>
              <w:right w:val="single" w:sz="1" w:space="0" w:color="1F5C99"/>
            </w:tcBorders>
            <w:shd w:val="clear" w:color="auto" w:fill="1F5C99"/>
            <w:tcMar>
              <w:top w:w="80" w:type="dxa"/>
              <w:left w:w="80" w:type="dxa"/>
              <w:bottom w:w="80" w:type="dxa"/>
              <w:right w:w="80" w:type="dxa"/>
            </w:tcMar>
          </w:tcPr>
          <w:p w14:paraId="4CD7061B" w14:textId="77777777" w:rsidR="00652408" w:rsidRPr="00A2271A" w:rsidRDefault="00652408" w:rsidP="0097037F">
            <w:pPr>
              <w:jc w:val="center"/>
              <w:rPr>
                <w:rFonts w:ascii="Lato" w:hAnsi="Lato"/>
                <w:lang w:val="en-GB"/>
              </w:rPr>
            </w:pPr>
            <w:r w:rsidRPr="00A2271A">
              <w:rPr>
                <w:rFonts w:ascii="Lato" w:hAnsi="Lato"/>
                <w:b/>
                <w:bCs/>
                <w:color w:val="FFFFFF"/>
                <w:sz w:val="18"/>
                <w:szCs w:val="18"/>
                <w:lang w:val="en-GB"/>
              </w:rPr>
              <w:t>Q4 2026</w:t>
            </w:r>
          </w:p>
        </w:tc>
        <w:tc>
          <w:tcPr>
            <w:tcW w:w="1440" w:type="dxa"/>
            <w:tcBorders>
              <w:top w:val="single" w:sz="1" w:space="0" w:color="1F5C99"/>
              <w:left w:val="single" w:sz="1" w:space="0" w:color="1F5C99"/>
              <w:bottom w:val="single" w:sz="1" w:space="0" w:color="1F5C99"/>
              <w:right w:val="single" w:sz="1" w:space="0" w:color="1F5C99"/>
            </w:tcBorders>
            <w:shd w:val="clear" w:color="auto" w:fill="1F5C99"/>
            <w:tcMar>
              <w:top w:w="80" w:type="dxa"/>
              <w:left w:w="80" w:type="dxa"/>
              <w:bottom w:w="80" w:type="dxa"/>
              <w:right w:w="80" w:type="dxa"/>
            </w:tcMar>
          </w:tcPr>
          <w:p w14:paraId="701217C4" w14:textId="77777777" w:rsidR="00652408" w:rsidRPr="00A2271A" w:rsidRDefault="00652408" w:rsidP="0097037F">
            <w:pPr>
              <w:jc w:val="center"/>
              <w:rPr>
                <w:rFonts w:ascii="Lato" w:hAnsi="Lato"/>
                <w:lang w:val="en-GB"/>
              </w:rPr>
            </w:pPr>
            <w:r w:rsidRPr="00A2271A">
              <w:rPr>
                <w:rFonts w:ascii="Lato" w:hAnsi="Lato"/>
                <w:b/>
                <w:bCs/>
                <w:color w:val="FFFFFF"/>
                <w:sz w:val="18"/>
                <w:szCs w:val="18"/>
                <w:lang w:val="en-GB"/>
              </w:rPr>
              <w:t>Q1 2027</w:t>
            </w:r>
          </w:p>
        </w:tc>
      </w:tr>
      <w:tr w:rsidR="00652408" w:rsidRPr="00A2271A" w14:paraId="2AF73C98" w14:textId="77777777" w:rsidTr="0097037F">
        <w:tc>
          <w:tcPr>
            <w:tcW w:w="30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44824845" w14:textId="77777777" w:rsidR="00652408" w:rsidRPr="00A2271A" w:rsidRDefault="00652408" w:rsidP="0097037F">
            <w:pPr>
              <w:rPr>
                <w:rFonts w:ascii="Lato" w:hAnsi="Lato"/>
                <w:lang w:val="en-GB"/>
              </w:rPr>
            </w:pPr>
            <w:r w:rsidRPr="00A2271A">
              <w:rPr>
                <w:rFonts w:ascii="Lato" w:hAnsi="Lato"/>
                <w:sz w:val="18"/>
                <w:szCs w:val="18"/>
                <w:lang w:val="en-GB"/>
              </w:rPr>
              <w:t>Phase 1: Inception &amp; Planning</w:t>
            </w:r>
          </w:p>
        </w:tc>
        <w:tc>
          <w:tcPr>
            <w:tcW w:w="1440" w:type="dxa"/>
            <w:tcBorders>
              <w:top w:val="single" w:sz="1" w:space="0" w:color="CCCCCC"/>
              <w:left w:val="single" w:sz="1" w:space="0" w:color="CCCCCC"/>
              <w:bottom w:val="single" w:sz="1" w:space="0" w:color="CCCCCC"/>
              <w:right w:val="single" w:sz="1" w:space="0" w:color="CCCCCC"/>
            </w:tcBorders>
            <w:shd w:val="clear" w:color="auto" w:fill="FFFF00"/>
            <w:tcMar>
              <w:top w:w="60" w:type="dxa"/>
              <w:left w:w="80" w:type="dxa"/>
              <w:bottom w:w="60" w:type="dxa"/>
              <w:right w:w="80" w:type="dxa"/>
            </w:tcMar>
          </w:tcPr>
          <w:p w14:paraId="551B68DE" w14:textId="77777777" w:rsidR="00652408" w:rsidRPr="00A2271A" w:rsidRDefault="00652408" w:rsidP="0097037F">
            <w:pPr>
              <w:jc w:val="center"/>
              <w:rPr>
                <w:rFonts w:ascii="Lato" w:hAnsi="Lato"/>
                <w:lang w:val="en-GB"/>
              </w:rPr>
            </w:pPr>
          </w:p>
        </w:tc>
        <w:tc>
          <w:tcPr>
            <w:tcW w:w="1440" w:type="dxa"/>
            <w:tcBorders>
              <w:top w:val="single" w:sz="1" w:space="0" w:color="CCCCCC"/>
              <w:left w:val="single" w:sz="1" w:space="0" w:color="CCCCCC"/>
              <w:bottom w:val="single" w:sz="1" w:space="0" w:color="CCCCCC"/>
              <w:right w:val="single" w:sz="1" w:space="0" w:color="CCCCCC"/>
            </w:tcBorders>
            <w:shd w:val="clear" w:color="auto" w:fill="EBF3FB"/>
            <w:tcMar>
              <w:top w:w="60" w:type="dxa"/>
              <w:left w:w="80" w:type="dxa"/>
              <w:bottom w:w="60" w:type="dxa"/>
              <w:right w:w="80" w:type="dxa"/>
            </w:tcMar>
          </w:tcPr>
          <w:p w14:paraId="1792DDE0" w14:textId="77777777" w:rsidR="00652408" w:rsidRPr="00A2271A" w:rsidRDefault="00652408" w:rsidP="0097037F">
            <w:pPr>
              <w:jc w:val="center"/>
              <w:rPr>
                <w:rFonts w:ascii="Lato" w:hAnsi="Lato"/>
                <w:lang w:val="en-GB"/>
              </w:rPr>
            </w:pPr>
          </w:p>
        </w:tc>
        <w:tc>
          <w:tcPr>
            <w:tcW w:w="1440" w:type="dxa"/>
            <w:tcBorders>
              <w:top w:val="single" w:sz="1" w:space="0" w:color="CCCCCC"/>
              <w:left w:val="single" w:sz="1" w:space="0" w:color="CCCCCC"/>
              <w:bottom w:val="single" w:sz="1" w:space="0" w:color="CCCCCC"/>
              <w:right w:val="single" w:sz="1" w:space="0" w:color="CCCCCC"/>
            </w:tcBorders>
            <w:shd w:val="clear" w:color="auto" w:fill="EBF3FB"/>
            <w:tcMar>
              <w:top w:w="60" w:type="dxa"/>
              <w:left w:w="80" w:type="dxa"/>
              <w:bottom w:w="60" w:type="dxa"/>
              <w:right w:w="80" w:type="dxa"/>
            </w:tcMar>
          </w:tcPr>
          <w:p w14:paraId="785689F4" w14:textId="77777777" w:rsidR="00652408" w:rsidRPr="00A2271A" w:rsidRDefault="00652408" w:rsidP="0097037F">
            <w:pPr>
              <w:jc w:val="center"/>
              <w:rPr>
                <w:rFonts w:ascii="Lato" w:hAnsi="Lato"/>
                <w:lang w:val="en-GB"/>
              </w:rPr>
            </w:pPr>
          </w:p>
        </w:tc>
      </w:tr>
      <w:tr w:rsidR="00652408" w:rsidRPr="00A2271A" w14:paraId="36D4A93E" w14:textId="77777777" w:rsidTr="0097037F">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9DC5CDF" w14:textId="77777777" w:rsidR="00652408" w:rsidRPr="00A2271A" w:rsidRDefault="00652408" w:rsidP="0097037F">
            <w:pPr>
              <w:rPr>
                <w:rFonts w:ascii="Lato" w:hAnsi="Lato"/>
                <w:lang w:val="en-GB"/>
              </w:rPr>
            </w:pPr>
            <w:r w:rsidRPr="00A2271A">
              <w:rPr>
                <w:rFonts w:ascii="Lato" w:hAnsi="Lato"/>
                <w:sz w:val="18"/>
                <w:szCs w:val="18"/>
                <w:lang w:val="en-GB"/>
              </w:rPr>
              <w:t>Phase 2: ESA 2026 Data Collection &amp; Field Work</w:t>
            </w:r>
          </w:p>
        </w:tc>
        <w:tc>
          <w:tcPr>
            <w:tcW w:w="1440" w:type="dxa"/>
            <w:tcBorders>
              <w:top w:val="single" w:sz="1" w:space="0" w:color="CCCCCC"/>
              <w:left w:val="single" w:sz="1" w:space="0" w:color="CCCCCC"/>
              <w:bottom w:val="single" w:sz="1" w:space="0" w:color="CCCCCC"/>
              <w:right w:val="single" w:sz="1" w:space="0" w:color="CCCCCC"/>
            </w:tcBorders>
            <w:shd w:val="clear" w:color="auto" w:fill="FFFF00"/>
            <w:tcMar>
              <w:top w:w="60" w:type="dxa"/>
              <w:left w:w="80" w:type="dxa"/>
              <w:bottom w:w="60" w:type="dxa"/>
              <w:right w:w="80" w:type="dxa"/>
            </w:tcMar>
          </w:tcPr>
          <w:p w14:paraId="45E3C60E" w14:textId="77777777" w:rsidR="00652408" w:rsidRPr="00A2271A" w:rsidRDefault="00652408" w:rsidP="0097037F">
            <w:pPr>
              <w:jc w:val="center"/>
              <w:rPr>
                <w:rFonts w:ascii="Lato" w:hAnsi="Lato"/>
                <w:lang w:val="en-GB"/>
              </w:rPr>
            </w:pPr>
          </w:p>
        </w:tc>
        <w:tc>
          <w:tcPr>
            <w:tcW w:w="1440" w:type="dxa"/>
            <w:tcBorders>
              <w:top w:val="single" w:sz="1" w:space="0" w:color="CCCCCC"/>
              <w:left w:val="single" w:sz="1" w:space="0" w:color="CCCCCC"/>
              <w:bottom w:val="single" w:sz="1" w:space="0" w:color="CCCCCC"/>
              <w:right w:val="single" w:sz="1" w:space="0" w:color="CCCCCC"/>
            </w:tcBorders>
            <w:shd w:val="clear" w:color="auto" w:fill="FFFF00"/>
            <w:tcMar>
              <w:top w:w="60" w:type="dxa"/>
              <w:left w:w="80" w:type="dxa"/>
              <w:bottom w:w="60" w:type="dxa"/>
              <w:right w:w="80" w:type="dxa"/>
            </w:tcMar>
          </w:tcPr>
          <w:p w14:paraId="4E31E844" w14:textId="77777777" w:rsidR="00652408" w:rsidRPr="00A2271A" w:rsidRDefault="00652408" w:rsidP="0097037F">
            <w:pPr>
              <w:jc w:val="center"/>
              <w:rPr>
                <w:rFonts w:ascii="Lato" w:hAnsi="Lato"/>
                <w:lang w:val="en-GB"/>
              </w:rPr>
            </w:pP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6BA86918" w14:textId="77777777" w:rsidR="00652408" w:rsidRPr="00A2271A" w:rsidRDefault="00652408" w:rsidP="0097037F">
            <w:pPr>
              <w:jc w:val="center"/>
              <w:rPr>
                <w:rFonts w:ascii="Lato" w:hAnsi="Lato"/>
                <w:lang w:val="en-GB"/>
              </w:rPr>
            </w:pPr>
          </w:p>
        </w:tc>
      </w:tr>
      <w:tr w:rsidR="00652408" w:rsidRPr="00A2271A" w14:paraId="5691CDAE" w14:textId="77777777" w:rsidTr="0097037F">
        <w:tc>
          <w:tcPr>
            <w:tcW w:w="30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176D7C2E" w14:textId="77777777" w:rsidR="00652408" w:rsidRPr="00A2271A" w:rsidRDefault="00652408" w:rsidP="0097037F">
            <w:pPr>
              <w:rPr>
                <w:rFonts w:ascii="Lato" w:hAnsi="Lato"/>
                <w:lang w:val="en-GB"/>
              </w:rPr>
            </w:pPr>
            <w:r w:rsidRPr="00A2271A">
              <w:rPr>
                <w:rFonts w:ascii="Lato" w:hAnsi="Lato"/>
                <w:sz w:val="18"/>
                <w:szCs w:val="18"/>
                <w:lang w:val="en-GB"/>
              </w:rPr>
              <w:t>Phase 3: ESA 2026 Analysis &amp; Reporting</w:t>
            </w:r>
          </w:p>
        </w:tc>
        <w:tc>
          <w:tcPr>
            <w:tcW w:w="1440" w:type="dxa"/>
            <w:tcBorders>
              <w:top w:val="single" w:sz="1" w:space="0" w:color="CCCCCC"/>
              <w:left w:val="single" w:sz="1" w:space="0" w:color="CCCCCC"/>
              <w:bottom w:val="single" w:sz="1" w:space="0" w:color="CCCCCC"/>
              <w:right w:val="single" w:sz="1" w:space="0" w:color="CCCCCC"/>
            </w:tcBorders>
            <w:shd w:val="clear" w:color="auto" w:fill="FFFF00"/>
            <w:tcMar>
              <w:top w:w="60" w:type="dxa"/>
              <w:left w:w="80" w:type="dxa"/>
              <w:bottom w:w="60" w:type="dxa"/>
              <w:right w:w="80" w:type="dxa"/>
            </w:tcMar>
          </w:tcPr>
          <w:p w14:paraId="5E419D38" w14:textId="77777777" w:rsidR="00652408" w:rsidRPr="00A2271A" w:rsidRDefault="00652408" w:rsidP="0097037F">
            <w:pPr>
              <w:jc w:val="center"/>
              <w:rPr>
                <w:rFonts w:ascii="Lato" w:hAnsi="Lato"/>
                <w:lang w:val="en-GB"/>
              </w:rPr>
            </w:pPr>
          </w:p>
        </w:tc>
        <w:tc>
          <w:tcPr>
            <w:tcW w:w="1440" w:type="dxa"/>
            <w:tcBorders>
              <w:top w:val="single" w:sz="1" w:space="0" w:color="CCCCCC"/>
              <w:left w:val="single" w:sz="1" w:space="0" w:color="CCCCCC"/>
              <w:bottom w:val="single" w:sz="1" w:space="0" w:color="CCCCCC"/>
              <w:right w:val="single" w:sz="1" w:space="0" w:color="CCCCCC"/>
            </w:tcBorders>
            <w:shd w:val="clear" w:color="auto" w:fill="FFFF00"/>
            <w:tcMar>
              <w:top w:w="60" w:type="dxa"/>
              <w:left w:w="80" w:type="dxa"/>
              <w:bottom w:w="60" w:type="dxa"/>
              <w:right w:w="80" w:type="dxa"/>
            </w:tcMar>
          </w:tcPr>
          <w:p w14:paraId="16394324" w14:textId="77777777" w:rsidR="00652408" w:rsidRPr="00A2271A" w:rsidRDefault="00652408" w:rsidP="0097037F">
            <w:pPr>
              <w:jc w:val="center"/>
              <w:rPr>
                <w:rFonts w:ascii="Lato" w:hAnsi="Lato"/>
                <w:lang w:val="en-GB"/>
              </w:rPr>
            </w:pPr>
          </w:p>
        </w:tc>
        <w:tc>
          <w:tcPr>
            <w:tcW w:w="144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60" w:type="dxa"/>
              <w:left w:w="80" w:type="dxa"/>
              <w:bottom w:w="60" w:type="dxa"/>
              <w:right w:w="80" w:type="dxa"/>
            </w:tcMar>
          </w:tcPr>
          <w:p w14:paraId="2DD16EBB" w14:textId="77777777" w:rsidR="00652408" w:rsidRPr="00A2271A" w:rsidRDefault="00652408" w:rsidP="0097037F">
            <w:pPr>
              <w:jc w:val="center"/>
              <w:rPr>
                <w:rFonts w:ascii="Lato" w:hAnsi="Lato"/>
                <w:lang w:val="en-GB"/>
              </w:rPr>
            </w:pPr>
          </w:p>
        </w:tc>
      </w:tr>
      <w:tr w:rsidR="00652408" w:rsidRPr="00A2271A" w14:paraId="22CC0B6A" w14:textId="77777777" w:rsidTr="0097037F">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28C6C92" w14:textId="77777777" w:rsidR="00652408" w:rsidRPr="00A2271A" w:rsidRDefault="00652408" w:rsidP="0097037F">
            <w:pPr>
              <w:rPr>
                <w:rFonts w:ascii="Lato" w:hAnsi="Lato"/>
                <w:lang w:val="en-GB"/>
              </w:rPr>
            </w:pPr>
            <w:r w:rsidRPr="00A2271A">
              <w:rPr>
                <w:rFonts w:ascii="Lato" w:hAnsi="Lato"/>
                <w:sz w:val="18"/>
                <w:szCs w:val="18"/>
                <w:lang w:val="en-GB"/>
              </w:rPr>
              <w:t>Phase 4: ESSP 2022-26 End-of-Cycle Assessment</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502DE724" w14:textId="77777777" w:rsidR="00652408" w:rsidRPr="00A2271A" w:rsidRDefault="00652408" w:rsidP="0097037F">
            <w:pPr>
              <w:jc w:val="center"/>
              <w:rPr>
                <w:rFonts w:ascii="Lato" w:hAnsi="Lato"/>
                <w:lang w:val="en-GB"/>
              </w:rPr>
            </w:pPr>
          </w:p>
        </w:tc>
        <w:tc>
          <w:tcPr>
            <w:tcW w:w="1440" w:type="dxa"/>
            <w:tcBorders>
              <w:top w:val="single" w:sz="1" w:space="0" w:color="CCCCCC"/>
              <w:left w:val="single" w:sz="1" w:space="0" w:color="CCCCCC"/>
              <w:bottom w:val="single" w:sz="1" w:space="0" w:color="CCCCCC"/>
              <w:right w:val="single" w:sz="1" w:space="0" w:color="CCCCCC"/>
            </w:tcBorders>
            <w:shd w:val="clear" w:color="auto" w:fill="FFFF00"/>
            <w:tcMar>
              <w:top w:w="60" w:type="dxa"/>
              <w:left w:w="80" w:type="dxa"/>
              <w:bottom w:w="60" w:type="dxa"/>
              <w:right w:w="80" w:type="dxa"/>
            </w:tcMar>
          </w:tcPr>
          <w:p w14:paraId="0C094292" w14:textId="77777777" w:rsidR="00652408" w:rsidRPr="00A2271A" w:rsidRDefault="00652408" w:rsidP="0097037F">
            <w:pPr>
              <w:jc w:val="center"/>
              <w:rPr>
                <w:rFonts w:ascii="Lato" w:hAnsi="Lato"/>
                <w:lang w:val="en-GB"/>
              </w:rPr>
            </w:pPr>
          </w:p>
        </w:tc>
        <w:tc>
          <w:tcPr>
            <w:tcW w:w="144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60" w:type="dxa"/>
              <w:left w:w="80" w:type="dxa"/>
              <w:bottom w:w="60" w:type="dxa"/>
              <w:right w:w="80" w:type="dxa"/>
            </w:tcMar>
          </w:tcPr>
          <w:p w14:paraId="5A4BA37E" w14:textId="77777777" w:rsidR="00652408" w:rsidRPr="00A2271A" w:rsidRDefault="00652408" w:rsidP="0097037F">
            <w:pPr>
              <w:jc w:val="center"/>
              <w:rPr>
                <w:rFonts w:ascii="Lato" w:hAnsi="Lato"/>
                <w:lang w:val="en-GB"/>
              </w:rPr>
            </w:pPr>
          </w:p>
        </w:tc>
      </w:tr>
      <w:tr w:rsidR="00652408" w:rsidRPr="00A2271A" w14:paraId="3A455E89" w14:textId="77777777" w:rsidTr="0097037F">
        <w:tc>
          <w:tcPr>
            <w:tcW w:w="30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08DEB7E7" w14:textId="77777777" w:rsidR="00652408" w:rsidRPr="00A2271A" w:rsidRDefault="00652408" w:rsidP="0097037F">
            <w:pPr>
              <w:rPr>
                <w:rFonts w:ascii="Lato" w:hAnsi="Lato"/>
                <w:lang w:val="en-GB"/>
              </w:rPr>
            </w:pPr>
            <w:r w:rsidRPr="00A2271A">
              <w:rPr>
                <w:rFonts w:ascii="Lato" w:hAnsi="Lato"/>
                <w:sz w:val="18"/>
                <w:szCs w:val="18"/>
                <w:lang w:val="en-GB"/>
              </w:rPr>
              <w:t>Phase 5: ESA Synthesis &amp; Validation Workshop</w:t>
            </w:r>
          </w:p>
        </w:tc>
        <w:tc>
          <w:tcPr>
            <w:tcW w:w="1440" w:type="dxa"/>
            <w:tcBorders>
              <w:top w:val="single" w:sz="1" w:space="0" w:color="CCCCCC"/>
              <w:left w:val="single" w:sz="1" w:space="0" w:color="CCCCCC"/>
              <w:bottom w:val="single" w:sz="1" w:space="0" w:color="CCCCCC"/>
              <w:right w:val="single" w:sz="1" w:space="0" w:color="CCCCCC"/>
            </w:tcBorders>
            <w:shd w:val="clear" w:color="auto" w:fill="EBF3FB"/>
            <w:tcMar>
              <w:top w:w="60" w:type="dxa"/>
              <w:left w:w="80" w:type="dxa"/>
              <w:bottom w:w="60" w:type="dxa"/>
              <w:right w:w="80" w:type="dxa"/>
            </w:tcMar>
          </w:tcPr>
          <w:p w14:paraId="6341DCF3" w14:textId="77777777" w:rsidR="00652408" w:rsidRPr="00A2271A" w:rsidRDefault="00652408" w:rsidP="0097037F">
            <w:pPr>
              <w:jc w:val="center"/>
              <w:rPr>
                <w:rFonts w:ascii="Lato" w:hAnsi="Lato"/>
                <w:lang w:val="en-GB"/>
              </w:rPr>
            </w:pPr>
          </w:p>
        </w:tc>
        <w:tc>
          <w:tcPr>
            <w:tcW w:w="1440" w:type="dxa"/>
            <w:tcBorders>
              <w:top w:val="single" w:sz="1" w:space="0" w:color="CCCCCC"/>
              <w:left w:val="single" w:sz="1" w:space="0" w:color="CCCCCC"/>
              <w:bottom w:val="single" w:sz="1" w:space="0" w:color="CCCCCC"/>
              <w:right w:val="single" w:sz="1" w:space="0" w:color="CCCCCC"/>
            </w:tcBorders>
            <w:shd w:val="clear" w:color="auto" w:fill="FFFF00"/>
            <w:tcMar>
              <w:top w:w="60" w:type="dxa"/>
              <w:left w:w="80" w:type="dxa"/>
              <w:bottom w:w="60" w:type="dxa"/>
              <w:right w:w="80" w:type="dxa"/>
            </w:tcMar>
          </w:tcPr>
          <w:p w14:paraId="70C653C8" w14:textId="77777777" w:rsidR="00652408" w:rsidRPr="00A2271A" w:rsidRDefault="00652408" w:rsidP="0097037F">
            <w:pPr>
              <w:jc w:val="center"/>
              <w:rPr>
                <w:rFonts w:ascii="Lato" w:hAnsi="Lato"/>
                <w:color w:val="FFFFFF"/>
                <w:sz w:val="18"/>
                <w:szCs w:val="18"/>
                <w:lang w:val="en-GB"/>
              </w:rPr>
            </w:pPr>
          </w:p>
        </w:tc>
        <w:tc>
          <w:tcPr>
            <w:tcW w:w="144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60" w:type="dxa"/>
              <w:left w:w="80" w:type="dxa"/>
              <w:bottom w:w="60" w:type="dxa"/>
              <w:right w:w="80" w:type="dxa"/>
            </w:tcMar>
          </w:tcPr>
          <w:p w14:paraId="03890304" w14:textId="77777777" w:rsidR="00652408" w:rsidRPr="00A2271A" w:rsidRDefault="00652408" w:rsidP="0097037F">
            <w:pPr>
              <w:jc w:val="center"/>
              <w:rPr>
                <w:rFonts w:ascii="Lato" w:hAnsi="Lato"/>
                <w:lang w:val="en-GB"/>
              </w:rPr>
            </w:pPr>
          </w:p>
        </w:tc>
      </w:tr>
      <w:tr w:rsidR="00652408" w:rsidRPr="00A2271A" w14:paraId="41FD8614" w14:textId="77777777" w:rsidTr="0097037F">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2487C73" w14:textId="77777777" w:rsidR="00652408" w:rsidRPr="00A2271A" w:rsidRDefault="00652408" w:rsidP="0097037F">
            <w:pPr>
              <w:rPr>
                <w:rFonts w:ascii="Lato" w:hAnsi="Lato"/>
                <w:lang w:val="en-GB"/>
              </w:rPr>
            </w:pPr>
            <w:r w:rsidRPr="00A2271A">
              <w:rPr>
                <w:rFonts w:ascii="Lato" w:hAnsi="Lato"/>
                <w:sz w:val="18"/>
                <w:szCs w:val="18"/>
                <w:lang w:val="en-GB"/>
              </w:rPr>
              <w:t>Phase 6: ESSP 2027-2031 Development &amp; Costing</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01DAF09E" w14:textId="77777777" w:rsidR="00652408" w:rsidRPr="00A2271A" w:rsidRDefault="00652408" w:rsidP="0097037F">
            <w:pPr>
              <w:jc w:val="center"/>
              <w:rPr>
                <w:rFonts w:ascii="Lato" w:hAnsi="Lato"/>
                <w:lang w:val="en-GB"/>
              </w:rPr>
            </w:pPr>
          </w:p>
        </w:tc>
        <w:tc>
          <w:tcPr>
            <w:tcW w:w="1440" w:type="dxa"/>
            <w:tcBorders>
              <w:top w:val="single" w:sz="1" w:space="0" w:color="CCCCCC"/>
              <w:left w:val="single" w:sz="1" w:space="0" w:color="CCCCCC"/>
              <w:bottom w:val="single" w:sz="1" w:space="0" w:color="CCCCCC"/>
              <w:right w:val="single" w:sz="1" w:space="0" w:color="CCCCCC"/>
            </w:tcBorders>
            <w:shd w:val="clear" w:color="auto" w:fill="FFFF00"/>
            <w:tcMar>
              <w:top w:w="60" w:type="dxa"/>
              <w:left w:w="80" w:type="dxa"/>
              <w:bottom w:w="60" w:type="dxa"/>
              <w:right w:w="80" w:type="dxa"/>
            </w:tcMar>
          </w:tcPr>
          <w:p w14:paraId="474D90A6" w14:textId="77777777" w:rsidR="00652408" w:rsidRPr="00A2271A" w:rsidRDefault="00652408" w:rsidP="0097037F">
            <w:pPr>
              <w:jc w:val="center"/>
              <w:rPr>
                <w:rFonts w:ascii="Lato" w:hAnsi="Lato"/>
                <w:lang w:val="en-GB"/>
              </w:rPr>
            </w:pPr>
          </w:p>
        </w:tc>
        <w:tc>
          <w:tcPr>
            <w:tcW w:w="144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60" w:type="dxa"/>
              <w:left w:w="80" w:type="dxa"/>
              <w:bottom w:w="60" w:type="dxa"/>
              <w:right w:w="80" w:type="dxa"/>
            </w:tcMar>
          </w:tcPr>
          <w:p w14:paraId="05B31371" w14:textId="77777777" w:rsidR="00652408" w:rsidRPr="00A2271A" w:rsidRDefault="00652408" w:rsidP="0097037F">
            <w:pPr>
              <w:jc w:val="center"/>
              <w:rPr>
                <w:rFonts w:ascii="Lato" w:hAnsi="Lato"/>
                <w:lang w:val="en-GB"/>
              </w:rPr>
            </w:pPr>
          </w:p>
        </w:tc>
      </w:tr>
      <w:tr w:rsidR="00652408" w:rsidRPr="00A2271A" w14:paraId="64756549" w14:textId="77777777" w:rsidTr="0097037F">
        <w:tc>
          <w:tcPr>
            <w:tcW w:w="30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00" w:type="dxa"/>
              <w:bottom w:w="60" w:type="dxa"/>
              <w:right w:w="100" w:type="dxa"/>
            </w:tcMar>
          </w:tcPr>
          <w:p w14:paraId="360D97AA" w14:textId="77777777" w:rsidR="00652408" w:rsidRPr="00A2271A" w:rsidRDefault="00652408" w:rsidP="0097037F">
            <w:pPr>
              <w:rPr>
                <w:rFonts w:ascii="Lato" w:hAnsi="Lato"/>
                <w:lang w:val="en-GB"/>
              </w:rPr>
            </w:pPr>
            <w:r w:rsidRPr="00A2271A">
              <w:rPr>
                <w:rFonts w:ascii="Lato" w:hAnsi="Lato"/>
                <w:sz w:val="18"/>
                <w:szCs w:val="18"/>
                <w:lang w:val="en-GB"/>
              </w:rPr>
              <w:t>Phase 7: ESSP Consultation &amp; National Validation</w:t>
            </w:r>
          </w:p>
        </w:tc>
        <w:tc>
          <w:tcPr>
            <w:tcW w:w="1440" w:type="dxa"/>
            <w:tcBorders>
              <w:top w:val="single" w:sz="1" w:space="0" w:color="CCCCCC"/>
              <w:left w:val="single" w:sz="1" w:space="0" w:color="CCCCCC"/>
              <w:bottom w:val="single" w:sz="1" w:space="0" w:color="CCCCCC"/>
              <w:right w:val="single" w:sz="1" w:space="0" w:color="CCCCCC"/>
            </w:tcBorders>
            <w:shd w:val="clear" w:color="auto" w:fill="EBF3FB"/>
            <w:tcMar>
              <w:top w:w="60" w:type="dxa"/>
              <w:left w:w="80" w:type="dxa"/>
              <w:bottom w:w="60" w:type="dxa"/>
              <w:right w:w="80" w:type="dxa"/>
            </w:tcMar>
          </w:tcPr>
          <w:p w14:paraId="42802BE6" w14:textId="77777777" w:rsidR="00652408" w:rsidRPr="00A2271A" w:rsidRDefault="00652408" w:rsidP="0097037F">
            <w:pPr>
              <w:jc w:val="center"/>
              <w:rPr>
                <w:rFonts w:ascii="Lato" w:hAnsi="Lato"/>
                <w:lang w:val="en-GB"/>
              </w:rPr>
            </w:pPr>
          </w:p>
        </w:tc>
        <w:tc>
          <w:tcPr>
            <w:tcW w:w="1440" w:type="dxa"/>
            <w:tcBorders>
              <w:top w:val="single" w:sz="1" w:space="0" w:color="CCCCCC"/>
              <w:left w:val="single" w:sz="1" w:space="0" w:color="CCCCCC"/>
              <w:bottom w:val="single" w:sz="1" w:space="0" w:color="CCCCCC"/>
              <w:right w:val="single" w:sz="1" w:space="0" w:color="CCCCCC"/>
            </w:tcBorders>
            <w:shd w:val="clear" w:color="auto" w:fill="FFFF00"/>
            <w:tcMar>
              <w:top w:w="60" w:type="dxa"/>
              <w:left w:w="80" w:type="dxa"/>
              <w:bottom w:w="60" w:type="dxa"/>
              <w:right w:w="80" w:type="dxa"/>
            </w:tcMar>
          </w:tcPr>
          <w:p w14:paraId="4A20F9E9" w14:textId="77777777" w:rsidR="00652408" w:rsidRPr="00A2271A" w:rsidRDefault="00652408" w:rsidP="0097037F">
            <w:pPr>
              <w:jc w:val="center"/>
              <w:rPr>
                <w:rFonts w:ascii="Lato" w:hAnsi="Lato"/>
                <w:highlight w:val="yellow"/>
                <w:lang w:val="en-GB"/>
              </w:rPr>
            </w:pPr>
          </w:p>
        </w:tc>
        <w:tc>
          <w:tcPr>
            <w:tcW w:w="1440" w:type="dxa"/>
            <w:tcBorders>
              <w:top w:val="single" w:sz="1" w:space="0" w:color="CCCCCC"/>
              <w:left w:val="single" w:sz="1" w:space="0" w:color="CCCCCC"/>
              <w:bottom w:val="single" w:sz="1" w:space="0" w:color="CCCCCC"/>
              <w:right w:val="single" w:sz="1" w:space="0" w:color="CCCCCC"/>
            </w:tcBorders>
            <w:shd w:val="clear" w:color="auto" w:fill="FFFF00"/>
            <w:tcMar>
              <w:top w:w="60" w:type="dxa"/>
              <w:left w:w="80" w:type="dxa"/>
              <w:bottom w:w="60" w:type="dxa"/>
              <w:right w:w="80" w:type="dxa"/>
            </w:tcMar>
          </w:tcPr>
          <w:p w14:paraId="6E2033F0" w14:textId="77777777" w:rsidR="00652408" w:rsidRPr="00A2271A" w:rsidRDefault="00652408" w:rsidP="0097037F">
            <w:pPr>
              <w:jc w:val="center"/>
              <w:rPr>
                <w:rFonts w:ascii="Lato" w:hAnsi="Lato"/>
                <w:highlight w:val="yellow"/>
                <w:lang w:val="en-GB"/>
              </w:rPr>
            </w:pPr>
          </w:p>
        </w:tc>
      </w:tr>
      <w:tr w:rsidR="00652408" w:rsidRPr="00A2271A" w14:paraId="3519D9ED" w14:textId="77777777" w:rsidTr="0097037F">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6BB9F54" w14:textId="77777777" w:rsidR="00652408" w:rsidRPr="00A2271A" w:rsidRDefault="00652408" w:rsidP="0097037F">
            <w:pPr>
              <w:rPr>
                <w:rFonts w:ascii="Lato" w:hAnsi="Lato"/>
                <w:lang w:val="en-GB"/>
              </w:rPr>
            </w:pPr>
            <w:r w:rsidRPr="00A2271A">
              <w:rPr>
                <w:rFonts w:ascii="Lato" w:hAnsi="Lato"/>
                <w:sz w:val="18"/>
                <w:szCs w:val="18"/>
                <w:lang w:val="en-GB"/>
              </w:rPr>
              <w:t>Phase 8: Finalisation &amp; Submission</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66DC0C04" w14:textId="77777777" w:rsidR="00652408" w:rsidRPr="00A2271A" w:rsidRDefault="00652408" w:rsidP="0097037F">
            <w:pPr>
              <w:jc w:val="center"/>
              <w:rPr>
                <w:rFonts w:ascii="Lato" w:hAnsi="Lato"/>
                <w:lang w:val="en-GB"/>
              </w:rPr>
            </w:pPr>
          </w:p>
        </w:tc>
        <w:tc>
          <w:tcPr>
            <w:tcW w:w="1440" w:type="dxa"/>
            <w:tcBorders>
              <w:top w:val="single" w:sz="1" w:space="0" w:color="CCCCCC"/>
              <w:left w:val="single" w:sz="1" w:space="0" w:color="CCCCCC"/>
              <w:bottom w:val="single" w:sz="1" w:space="0" w:color="CCCCCC"/>
              <w:right w:val="single" w:sz="1" w:space="0" w:color="CCCCCC"/>
            </w:tcBorders>
            <w:shd w:val="clear" w:color="auto" w:fill="FFFF00"/>
            <w:tcMar>
              <w:top w:w="60" w:type="dxa"/>
              <w:left w:w="80" w:type="dxa"/>
              <w:bottom w:w="60" w:type="dxa"/>
              <w:right w:w="80" w:type="dxa"/>
            </w:tcMar>
          </w:tcPr>
          <w:p w14:paraId="22C5DFA1" w14:textId="77777777" w:rsidR="00652408" w:rsidRPr="00A2271A" w:rsidRDefault="00652408" w:rsidP="0097037F">
            <w:pPr>
              <w:jc w:val="center"/>
              <w:rPr>
                <w:rFonts w:ascii="Lato" w:hAnsi="Lato"/>
                <w:highlight w:val="yellow"/>
                <w:lang w:val="en-GB"/>
              </w:rPr>
            </w:pPr>
          </w:p>
        </w:tc>
        <w:tc>
          <w:tcPr>
            <w:tcW w:w="1440" w:type="dxa"/>
            <w:tcBorders>
              <w:top w:val="single" w:sz="1" w:space="0" w:color="CCCCCC"/>
              <w:left w:val="single" w:sz="1" w:space="0" w:color="CCCCCC"/>
              <w:bottom w:val="single" w:sz="1" w:space="0" w:color="CCCCCC"/>
              <w:right w:val="single" w:sz="1" w:space="0" w:color="CCCCCC"/>
            </w:tcBorders>
            <w:shd w:val="clear" w:color="auto" w:fill="FFFF00"/>
            <w:tcMar>
              <w:top w:w="60" w:type="dxa"/>
              <w:left w:w="80" w:type="dxa"/>
              <w:bottom w:w="60" w:type="dxa"/>
              <w:right w:w="80" w:type="dxa"/>
            </w:tcMar>
          </w:tcPr>
          <w:p w14:paraId="1C20E5BA" w14:textId="77777777" w:rsidR="00652408" w:rsidRPr="00A2271A" w:rsidRDefault="00652408" w:rsidP="0097037F">
            <w:pPr>
              <w:jc w:val="center"/>
              <w:rPr>
                <w:rFonts w:ascii="Lato" w:hAnsi="Lato"/>
                <w:highlight w:val="yellow"/>
                <w:lang w:val="en-GB"/>
              </w:rPr>
            </w:pPr>
          </w:p>
        </w:tc>
      </w:tr>
      <w:tr w:rsidR="00652408" w:rsidRPr="00A2271A" w14:paraId="52FB94CB" w14:textId="77777777" w:rsidTr="0097037F">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BCA2C45" w14:textId="77777777" w:rsidR="00652408" w:rsidRPr="00A2271A" w:rsidRDefault="00652408" w:rsidP="0097037F">
            <w:pPr>
              <w:rPr>
                <w:rFonts w:ascii="Lato" w:hAnsi="Lato"/>
                <w:sz w:val="18"/>
                <w:szCs w:val="18"/>
                <w:lang w:val="en-GB"/>
              </w:rPr>
            </w:pPr>
            <w:r w:rsidRPr="00A2271A">
              <w:rPr>
                <w:rFonts w:ascii="Lato" w:hAnsi="Lato"/>
                <w:sz w:val="18"/>
                <w:szCs w:val="18"/>
                <w:lang w:val="en-GB"/>
              </w:rPr>
              <w:t>Phase 9: ESSP Apprial by GPE</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56111E5E" w14:textId="77777777" w:rsidR="00652408" w:rsidRPr="00A2271A" w:rsidRDefault="00652408" w:rsidP="0097037F">
            <w:pPr>
              <w:jc w:val="center"/>
              <w:rPr>
                <w:rFonts w:ascii="Lato" w:hAnsi="Lato"/>
                <w:lang w:val="en-GB"/>
              </w:rPr>
            </w:pPr>
          </w:p>
        </w:tc>
        <w:tc>
          <w:tcPr>
            <w:tcW w:w="144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60" w:type="dxa"/>
              <w:left w:w="80" w:type="dxa"/>
              <w:bottom w:w="60" w:type="dxa"/>
              <w:right w:w="80" w:type="dxa"/>
            </w:tcMar>
          </w:tcPr>
          <w:p w14:paraId="69C6EB0A" w14:textId="77777777" w:rsidR="00652408" w:rsidRPr="00A2271A" w:rsidRDefault="00652408" w:rsidP="0097037F">
            <w:pPr>
              <w:jc w:val="center"/>
              <w:rPr>
                <w:rFonts w:ascii="Lato" w:hAnsi="Lato"/>
                <w:highlight w:val="yellow"/>
                <w:lang w:val="en-GB"/>
              </w:rPr>
            </w:pPr>
          </w:p>
        </w:tc>
        <w:tc>
          <w:tcPr>
            <w:tcW w:w="1440" w:type="dxa"/>
            <w:tcBorders>
              <w:top w:val="single" w:sz="1" w:space="0" w:color="CCCCCC"/>
              <w:left w:val="single" w:sz="1" w:space="0" w:color="CCCCCC"/>
              <w:bottom w:val="single" w:sz="1" w:space="0" w:color="CCCCCC"/>
              <w:right w:val="single" w:sz="1" w:space="0" w:color="CCCCCC"/>
            </w:tcBorders>
            <w:shd w:val="clear" w:color="auto" w:fill="FFFF00"/>
            <w:tcMar>
              <w:top w:w="60" w:type="dxa"/>
              <w:left w:w="80" w:type="dxa"/>
              <w:bottom w:w="60" w:type="dxa"/>
              <w:right w:w="80" w:type="dxa"/>
            </w:tcMar>
          </w:tcPr>
          <w:p w14:paraId="0F33D83F" w14:textId="77777777" w:rsidR="00652408" w:rsidRPr="00A2271A" w:rsidRDefault="00652408" w:rsidP="0097037F">
            <w:pPr>
              <w:jc w:val="center"/>
              <w:rPr>
                <w:rFonts w:ascii="Lato" w:hAnsi="Lato"/>
                <w:highlight w:val="yellow"/>
                <w:lang w:val="en-GB"/>
              </w:rPr>
            </w:pPr>
          </w:p>
        </w:tc>
      </w:tr>
      <w:tr w:rsidR="00652408" w:rsidRPr="00A2271A" w14:paraId="4AFD9DB4" w14:textId="77777777" w:rsidTr="0097037F">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8881A86" w14:textId="77777777" w:rsidR="00652408" w:rsidRPr="00A2271A" w:rsidRDefault="00652408" w:rsidP="0097037F">
            <w:pPr>
              <w:rPr>
                <w:rFonts w:ascii="Lato" w:hAnsi="Lato"/>
                <w:sz w:val="18"/>
                <w:szCs w:val="18"/>
                <w:lang w:val="en-GB"/>
              </w:rPr>
            </w:pPr>
            <w:r w:rsidRPr="00A2271A">
              <w:rPr>
                <w:rFonts w:ascii="Lato" w:hAnsi="Lato"/>
                <w:sz w:val="18"/>
                <w:szCs w:val="18"/>
                <w:lang w:val="en-GB"/>
              </w:rPr>
              <w:t>Phase 10: Final Approval for the MOES, ESC and the GPE.</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386E33F0" w14:textId="77777777" w:rsidR="00652408" w:rsidRPr="00A2271A" w:rsidRDefault="00652408" w:rsidP="0097037F">
            <w:pPr>
              <w:jc w:val="center"/>
              <w:rPr>
                <w:rFonts w:ascii="Lato" w:hAnsi="Lato"/>
                <w:lang w:val="en-GB"/>
              </w:rPr>
            </w:pPr>
          </w:p>
        </w:tc>
        <w:tc>
          <w:tcPr>
            <w:tcW w:w="144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60" w:type="dxa"/>
              <w:left w:w="80" w:type="dxa"/>
              <w:bottom w:w="60" w:type="dxa"/>
              <w:right w:w="80" w:type="dxa"/>
            </w:tcMar>
          </w:tcPr>
          <w:p w14:paraId="76CB4CEF" w14:textId="77777777" w:rsidR="00652408" w:rsidRPr="00A2271A" w:rsidRDefault="00652408" w:rsidP="0097037F">
            <w:pPr>
              <w:jc w:val="center"/>
              <w:rPr>
                <w:rFonts w:ascii="Lato" w:hAnsi="Lato"/>
                <w:highlight w:val="yellow"/>
                <w:lang w:val="en-GB"/>
              </w:rPr>
            </w:pPr>
          </w:p>
        </w:tc>
        <w:tc>
          <w:tcPr>
            <w:tcW w:w="1440" w:type="dxa"/>
            <w:tcBorders>
              <w:top w:val="single" w:sz="1" w:space="0" w:color="CCCCCC"/>
              <w:left w:val="single" w:sz="1" w:space="0" w:color="CCCCCC"/>
              <w:bottom w:val="single" w:sz="1" w:space="0" w:color="CCCCCC"/>
              <w:right w:val="single" w:sz="1" w:space="0" w:color="CCCCCC"/>
            </w:tcBorders>
            <w:shd w:val="clear" w:color="auto" w:fill="FFFF00"/>
            <w:tcMar>
              <w:top w:w="60" w:type="dxa"/>
              <w:left w:w="80" w:type="dxa"/>
              <w:bottom w:w="60" w:type="dxa"/>
              <w:right w:w="80" w:type="dxa"/>
            </w:tcMar>
          </w:tcPr>
          <w:p w14:paraId="7053695A" w14:textId="77777777" w:rsidR="00652408" w:rsidRPr="00A2271A" w:rsidRDefault="00652408" w:rsidP="0097037F">
            <w:pPr>
              <w:jc w:val="center"/>
              <w:rPr>
                <w:rFonts w:ascii="Lato" w:hAnsi="Lato"/>
                <w:highlight w:val="yellow"/>
                <w:lang w:val="en-GB"/>
              </w:rPr>
            </w:pPr>
          </w:p>
        </w:tc>
      </w:tr>
    </w:tbl>
    <w:p w14:paraId="7E97CD8A" w14:textId="77777777" w:rsidR="00652408" w:rsidRPr="00A2271A" w:rsidRDefault="00652408" w:rsidP="00652408">
      <w:pPr>
        <w:spacing w:before="60" w:after="60"/>
        <w:rPr>
          <w:rFonts w:ascii="Lato" w:hAnsi="Lato"/>
          <w:lang w:val="en-GB"/>
        </w:rPr>
      </w:pPr>
    </w:p>
    <w:p w14:paraId="20B52E75" w14:textId="77777777" w:rsidR="00652408" w:rsidRPr="00A2271A" w:rsidRDefault="00652408" w:rsidP="00652408">
      <w:pPr>
        <w:pStyle w:val="Heading1"/>
        <w:pBdr>
          <w:bottom w:val="single" w:sz="6" w:space="4" w:color="1F5C99"/>
        </w:pBdr>
        <w:rPr>
          <w:rFonts w:ascii="Lato" w:hAnsi="Lato"/>
          <w:lang w:val="en-GB"/>
        </w:rPr>
      </w:pPr>
      <w:r w:rsidRPr="00A2271A">
        <w:rPr>
          <w:rFonts w:ascii="Lato" w:eastAsia="Arial" w:hAnsi="Lato" w:cs="Arial"/>
          <w:b/>
          <w:bCs/>
          <w:color w:val="1F5C99"/>
          <w:sz w:val="28"/>
          <w:szCs w:val="28"/>
          <w:lang w:val="en-GB"/>
        </w:rPr>
        <w:t>7. Consultant Requirements and Team Composition</w:t>
      </w:r>
    </w:p>
    <w:p w14:paraId="61C3F3C7" w14:textId="77777777" w:rsidR="00652408" w:rsidRPr="00A2271A" w:rsidRDefault="00652408" w:rsidP="00652408">
      <w:pPr>
        <w:spacing w:before="80" w:after="80"/>
        <w:jc w:val="both"/>
        <w:rPr>
          <w:rFonts w:ascii="Lato" w:hAnsi="Lato"/>
          <w:lang w:val="en-GB"/>
        </w:rPr>
      </w:pPr>
      <w:r w:rsidRPr="00A2271A">
        <w:rPr>
          <w:rFonts w:ascii="Lato" w:hAnsi="Lato"/>
          <w:lang w:val="en-GB"/>
        </w:rPr>
        <w:t xml:space="preserve">The consultancy is expected to be conducted by a team of international and national consultants with complementary expertise. The </w:t>
      </w:r>
      <w:proofErr w:type="spellStart"/>
      <w:r w:rsidRPr="00A2271A">
        <w:rPr>
          <w:rFonts w:ascii="Lato" w:hAnsi="Lato"/>
          <w:lang w:val="en-GB"/>
        </w:rPr>
        <w:t>MoES</w:t>
      </w:r>
      <w:proofErr w:type="spellEnd"/>
      <w:r w:rsidRPr="00A2271A">
        <w:rPr>
          <w:rFonts w:ascii="Lato" w:hAnsi="Lato"/>
          <w:lang w:val="en-GB"/>
        </w:rPr>
        <w:t>/SCI strongly encourages the inclusion of Somaliland national experts in the team. The team shall comprise a minimum of the following profile:</w:t>
      </w:r>
    </w:p>
    <w:p w14:paraId="356BF8C1"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lastRenderedPageBreak/>
        <w:t>Advanced degree (Master’s or PhD) in education planning, educational economics, development studies or a closely related field;</w:t>
      </w:r>
    </w:p>
    <w:p w14:paraId="0A32C754"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Minimum 10 years of relevant experience in education sector analysis, sector planning and strategic plan development in low-income or fragile/conflict-affected contexts;</w:t>
      </w:r>
    </w:p>
    <w:p w14:paraId="5915925E"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Demonstrated experience in developing or supporting the development of national Education Sector Strategic Plans, including in Sub-Saharan Africa or the Horn of Africa;</w:t>
      </w:r>
    </w:p>
    <w:p w14:paraId="2B9D0A79"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Strong expertise in education financing, simulation modelling and cost analysis;</w:t>
      </w:r>
    </w:p>
    <w:p w14:paraId="42A79421"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Experience working with GPE-supported countries and familiarity with GPE guidelines for ESA and ESP preparation and appraisal;</w:t>
      </w:r>
    </w:p>
    <w:p w14:paraId="31EA9D77"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Excellent facilitation, stakeholder engagement and communication skills;</w:t>
      </w:r>
    </w:p>
    <w:p w14:paraId="10A7B227"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Fluency in written and spoken English; knowledge of Somali language is an asset.</w:t>
      </w:r>
    </w:p>
    <w:p w14:paraId="0C6A466E"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Strong quantitative analytical skills and experience with education simulation models;</w:t>
      </w:r>
    </w:p>
    <w:p w14:paraId="641CAFA4"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Experience in learning assessment analysis (EGRA, EGMA or equivalent);</w:t>
      </w:r>
    </w:p>
    <w:p w14:paraId="3B8B23EF"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Experience working with EMIS systems in Sub-Saharan Africa or similar contexts.</w:t>
      </w:r>
    </w:p>
    <w:p w14:paraId="63EE5D3E"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Demonstrated experience in disability-inclusive education, nomadic/pastoralist education, and education for IDPs and marginalised groups;</w:t>
      </w:r>
    </w:p>
    <w:p w14:paraId="4A7BF00F"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Experience integrating gender and equity dimensions into ESPs and M&amp;E frameworks.</w:t>
      </w:r>
    </w:p>
    <w:p w14:paraId="0FB555CE"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Familiarity with the Inter-Agency Network for Education in Emergencies (INEE) Minimum Standards;</w:t>
      </w:r>
    </w:p>
    <w:p w14:paraId="3AA977F5"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Experience integrating EiE into sector-wide planning and M&amp;E frameworks.</w:t>
      </w:r>
    </w:p>
    <w:p w14:paraId="126BCDB8" w14:textId="77777777" w:rsidR="00652408" w:rsidRPr="00A2271A" w:rsidRDefault="00652408" w:rsidP="00652408">
      <w:pPr>
        <w:spacing w:before="60" w:after="60"/>
        <w:rPr>
          <w:rFonts w:ascii="Lato" w:hAnsi="Lato"/>
          <w:lang w:val="en-GB"/>
        </w:rPr>
      </w:pPr>
    </w:p>
    <w:p w14:paraId="4CBFCBE8" w14:textId="77777777" w:rsidR="00652408" w:rsidRPr="00A2271A" w:rsidRDefault="00652408" w:rsidP="00652408">
      <w:pPr>
        <w:pStyle w:val="Heading1"/>
        <w:pBdr>
          <w:bottom w:val="single" w:sz="6" w:space="4" w:color="1F5C99"/>
        </w:pBdr>
        <w:rPr>
          <w:rFonts w:ascii="Lato" w:hAnsi="Lato"/>
          <w:lang w:val="en-GB"/>
        </w:rPr>
      </w:pPr>
      <w:r w:rsidRPr="00A2271A">
        <w:rPr>
          <w:rFonts w:ascii="Lato" w:eastAsia="Arial" w:hAnsi="Lato" w:cs="Arial"/>
          <w:b/>
          <w:bCs/>
          <w:color w:val="1F5C99"/>
          <w:sz w:val="28"/>
          <w:szCs w:val="28"/>
          <w:lang w:val="en-GB"/>
        </w:rPr>
        <w:t>8. Application Requirements</w:t>
      </w:r>
    </w:p>
    <w:p w14:paraId="74FE68BB" w14:textId="77777777" w:rsidR="00652408" w:rsidRPr="00A2271A" w:rsidRDefault="00652408" w:rsidP="00652408">
      <w:pPr>
        <w:spacing w:before="80" w:after="80"/>
        <w:jc w:val="both"/>
        <w:rPr>
          <w:rFonts w:ascii="Lato" w:hAnsi="Lato"/>
          <w:lang w:val="en-GB"/>
        </w:rPr>
      </w:pPr>
      <w:r w:rsidRPr="00A2271A">
        <w:rPr>
          <w:rFonts w:ascii="Lato" w:hAnsi="Lato"/>
          <w:lang w:val="en-GB"/>
        </w:rPr>
        <w:t>Interested firms or consortia are invited to submit a complete proposal including:</w:t>
      </w:r>
    </w:p>
    <w:p w14:paraId="5F04CBE3" w14:textId="77777777" w:rsidR="00652408" w:rsidRPr="00A2271A" w:rsidRDefault="00652408" w:rsidP="00652408">
      <w:pPr>
        <w:spacing w:before="60" w:after="60"/>
        <w:rPr>
          <w:rFonts w:ascii="Lato" w:hAnsi="Lato"/>
          <w:lang w:val="en-GB"/>
        </w:rPr>
      </w:pPr>
    </w:p>
    <w:p w14:paraId="560EAA57"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A Technical Proposal with a detailed response to this TOR, demonstrating understanding of the assignment, proposed methodology, approach to stakeholder engagement, quality assurance mechanisms, and team composition with CVs;</w:t>
      </w:r>
    </w:p>
    <w:p w14:paraId="0BA9B482"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An Inception Work Plan indicating a detailed, phased timeline for each deliverable and the estimated number of working days per team member;</w:t>
      </w:r>
    </w:p>
    <w:p w14:paraId="087E9E18"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A Financial Proposal detailing the daily rates for each team member, total budget, and a breakdown by phase/deliverable;</w:t>
      </w:r>
    </w:p>
    <w:p w14:paraId="7C83C167"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Organisational profile or firm credentials, including a minimum of three traceable and relevant references from similar assignments completed within the last ten years (ESA and/or ESP development);</w:t>
      </w:r>
    </w:p>
    <w:p w14:paraId="659F7F95"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Sample reports or outputs from previous ESA or ESP assignments of a comparable scope.</w:t>
      </w:r>
    </w:p>
    <w:p w14:paraId="32EE5803" w14:textId="77777777" w:rsidR="00652408" w:rsidRPr="00A2271A" w:rsidRDefault="00652408" w:rsidP="00652408">
      <w:pPr>
        <w:spacing w:before="60" w:after="60"/>
        <w:rPr>
          <w:rFonts w:ascii="Lato" w:hAnsi="Lato"/>
          <w:lang w:val="en-GB"/>
        </w:rPr>
      </w:pPr>
    </w:p>
    <w:p w14:paraId="7CB33F9B" w14:textId="77777777" w:rsidR="00652408" w:rsidRPr="00A2271A" w:rsidRDefault="00652408" w:rsidP="00652408">
      <w:pPr>
        <w:pStyle w:val="Heading1"/>
        <w:pBdr>
          <w:bottom w:val="single" w:sz="6" w:space="4" w:color="1F5C99"/>
        </w:pBdr>
        <w:rPr>
          <w:rFonts w:ascii="Lato" w:hAnsi="Lato"/>
          <w:lang w:val="en-GB"/>
        </w:rPr>
      </w:pPr>
      <w:r w:rsidRPr="00A2271A">
        <w:rPr>
          <w:rFonts w:ascii="Lato" w:eastAsia="Arial" w:hAnsi="Lato" w:cs="Arial"/>
          <w:b/>
          <w:bCs/>
          <w:color w:val="1F5C99"/>
          <w:sz w:val="28"/>
          <w:szCs w:val="28"/>
          <w:lang w:val="en-GB"/>
        </w:rPr>
        <w:t>9. Ethical Considerations and Cross-Cutting Principles</w:t>
      </w:r>
    </w:p>
    <w:p w14:paraId="039C1952" w14:textId="77777777" w:rsidR="00652408" w:rsidRPr="00A2271A" w:rsidRDefault="00652408" w:rsidP="00652408">
      <w:pPr>
        <w:spacing w:before="80" w:after="80"/>
        <w:jc w:val="both"/>
        <w:rPr>
          <w:rFonts w:ascii="Lato" w:hAnsi="Lato"/>
          <w:lang w:val="en-GB"/>
        </w:rPr>
      </w:pPr>
      <w:r w:rsidRPr="00A2271A">
        <w:rPr>
          <w:rFonts w:ascii="Lato" w:hAnsi="Lato"/>
          <w:lang w:val="en-GB"/>
        </w:rPr>
        <w:t>The consultancy shall adhere to the following principles throughout:</w:t>
      </w:r>
    </w:p>
    <w:p w14:paraId="16840395"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lastRenderedPageBreak/>
        <w:t>Do No Harm: all data collection activities shall be conducted safely and ethically, with informed consent and appropriate data protection measures;</w:t>
      </w:r>
    </w:p>
    <w:p w14:paraId="618A25B9"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Gender responsiveness: analysis and planning shall be disaggregated by sex and shall apply a gender lens across all sub-sectors;</w:t>
      </w:r>
    </w:p>
    <w:p w14:paraId="0BD605B3"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Inclusion: the voices and priorities of marginalised groups (girls, children with disabilities, nomadic communities, IDPs, MVC) shall be explicitly captured;</w:t>
      </w:r>
    </w:p>
    <w:p w14:paraId="2CA54F30"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 xml:space="preserve">Local ownership: the process shall build </w:t>
      </w:r>
      <w:proofErr w:type="spellStart"/>
      <w:r w:rsidRPr="00A2271A">
        <w:rPr>
          <w:rFonts w:ascii="Lato" w:hAnsi="Lato"/>
        </w:rPr>
        <w:t>MoES</w:t>
      </w:r>
      <w:proofErr w:type="spellEnd"/>
      <w:r w:rsidRPr="00A2271A">
        <w:rPr>
          <w:rFonts w:ascii="Lato" w:hAnsi="Lato"/>
        </w:rPr>
        <w:t xml:space="preserve"> capacity and ensure that the ESSP 2027–2031 is owned and led by the </w:t>
      </w:r>
      <w:proofErr w:type="spellStart"/>
      <w:r w:rsidRPr="00A2271A">
        <w:rPr>
          <w:rFonts w:ascii="Lato" w:hAnsi="Lato"/>
        </w:rPr>
        <w:t>MoES</w:t>
      </w:r>
      <w:proofErr w:type="spellEnd"/>
      <w:r w:rsidRPr="00A2271A">
        <w:rPr>
          <w:rFonts w:ascii="Lato" w:hAnsi="Lato"/>
        </w:rPr>
        <w:t>;</w:t>
      </w:r>
    </w:p>
    <w:p w14:paraId="5CDBAFE4"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Conflict sensitivity: all activities shall be conducted with awareness of local dynamics and conflict sensitivity principles;</w:t>
      </w:r>
    </w:p>
    <w:p w14:paraId="72F7944B" w14:textId="77777777" w:rsidR="00652408" w:rsidRPr="00A2271A" w:rsidRDefault="00652408">
      <w:pPr>
        <w:pStyle w:val="ListParagraph"/>
        <w:numPr>
          <w:ilvl w:val="0"/>
          <w:numId w:val="6"/>
        </w:numPr>
        <w:spacing w:before="60" w:after="60"/>
        <w:contextualSpacing w:val="0"/>
        <w:rPr>
          <w:rFonts w:ascii="Lato" w:hAnsi="Lato"/>
        </w:rPr>
      </w:pPr>
      <w:r w:rsidRPr="00A2271A">
        <w:rPr>
          <w:rFonts w:ascii="Lato" w:hAnsi="Lato"/>
        </w:rPr>
        <w:t>Climate sensitivity: the analysis and planning shall integrate climate change risks and resilience strategies.</w:t>
      </w:r>
    </w:p>
    <w:p w14:paraId="1F00F29D" w14:textId="77777777" w:rsidR="00652408" w:rsidRPr="00A2271A" w:rsidRDefault="00652408" w:rsidP="00652408">
      <w:pPr>
        <w:spacing w:before="60" w:after="60"/>
        <w:rPr>
          <w:rFonts w:ascii="Lato" w:hAnsi="Lato"/>
          <w:lang w:val="en-GB"/>
        </w:rPr>
      </w:pPr>
    </w:p>
    <w:p w14:paraId="02684422" w14:textId="77777777" w:rsidR="00652408" w:rsidRPr="00A2271A" w:rsidRDefault="00652408" w:rsidP="00652408">
      <w:pPr>
        <w:pStyle w:val="Heading1"/>
        <w:pBdr>
          <w:bottom w:val="single" w:sz="6" w:space="4" w:color="1F5C99"/>
        </w:pBdr>
        <w:rPr>
          <w:rFonts w:ascii="Lato" w:hAnsi="Lato"/>
          <w:lang w:val="en-GB"/>
        </w:rPr>
      </w:pPr>
      <w:r w:rsidRPr="00A2271A">
        <w:rPr>
          <w:rFonts w:ascii="Lato" w:eastAsia="Arial" w:hAnsi="Lato" w:cs="Arial"/>
          <w:b/>
          <w:bCs/>
          <w:color w:val="1F5C99"/>
          <w:sz w:val="28"/>
          <w:szCs w:val="28"/>
          <w:lang w:val="en-GB"/>
        </w:rPr>
        <w:t>10. Reporting Arrangements</w:t>
      </w:r>
    </w:p>
    <w:p w14:paraId="750A90AF" w14:textId="77777777" w:rsidR="00652408" w:rsidRPr="00A2271A" w:rsidRDefault="00652408" w:rsidP="00652408">
      <w:pPr>
        <w:spacing w:before="80" w:after="80"/>
        <w:jc w:val="both"/>
        <w:rPr>
          <w:rFonts w:ascii="Lato" w:hAnsi="Lato"/>
          <w:lang w:val="en-GB"/>
        </w:rPr>
      </w:pPr>
      <w:r w:rsidRPr="00A2271A">
        <w:rPr>
          <w:rFonts w:ascii="Lato" w:hAnsi="Lato"/>
          <w:lang w:val="en-GB"/>
        </w:rPr>
        <w:t xml:space="preserve">The consultancy team shall report to the Director of Policy and Planning, </w:t>
      </w:r>
      <w:proofErr w:type="spellStart"/>
      <w:r w:rsidRPr="00A2271A">
        <w:rPr>
          <w:rFonts w:ascii="Lato" w:hAnsi="Lato"/>
          <w:lang w:val="en-GB"/>
        </w:rPr>
        <w:t>MoES</w:t>
      </w:r>
      <w:proofErr w:type="spellEnd"/>
      <w:r w:rsidRPr="00A2271A">
        <w:rPr>
          <w:rFonts w:ascii="Lato" w:hAnsi="Lato"/>
          <w:lang w:val="en-GB"/>
        </w:rPr>
        <w:t>, under the overall supervision of the Director General. The GPE Grant Agency will receive copies of all deliverables and participate in all review and validation processes. The Technical Coordination Committee will serve as the primary point of contact for day-to-day coordination.</w:t>
      </w:r>
    </w:p>
    <w:p w14:paraId="315D7C98" w14:textId="77777777" w:rsidR="00652408" w:rsidRPr="00A2271A" w:rsidRDefault="00652408" w:rsidP="00652408">
      <w:pPr>
        <w:spacing w:before="60" w:after="60"/>
        <w:rPr>
          <w:rFonts w:ascii="Lato" w:hAnsi="Lato"/>
          <w:lang w:val="en-GB"/>
        </w:rPr>
      </w:pPr>
    </w:p>
    <w:p w14:paraId="6A8196BA" w14:textId="77777777" w:rsidR="00652408" w:rsidRPr="00A2271A" w:rsidRDefault="00652408" w:rsidP="00652408">
      <w:pPr>
        <w:spacing w:before="80" w:after="80"/>
        <w:jc w:val="both"/>
        <w:rPr>
          <w:rFonts w:ascii="Lato" w:hAnsi="Lato"/>
          <w:lang w:val="en-GB"/>
        </w:rPr>
      </w:pPr>
      <w:r w:rsidRPr="00A2271A">
        <w:rPr>
          <w:rFonts w:ascii="Lato" w:hAnsi="Lato"/>
          <w:lang w:val="en-GB"/>
        </w:rPr>
        <w:t xml:space="preserve">All deliverables shall be submitted electronically and in hard copy (where applicable) to the </w:t>
      </w:r>
      <w:proofErr w:type="spellStart"/>
      <w:r w:rsidRPr="00A2271A">
        <w:rPr>
          <w:rFonts w:ascii="Lato" w:hAnsi="Lato"/>
          <w:lang w:val="en-GB"/>
        </w:rPr>
        <w:t>MoES</w:t>
      </w:r>
      <w:proofErr w:type="spellEnd"/>
      <w:r w:rsidRPr="00A2271A">
        <w:rPr>
          <w:rFonts w:ascii="Lato" w:hAnsi="Lato"/>
          <w:lang w:val="en-GB"/>
        </w:rPr>
        <w:t xml:space="preserve">. Draft deliverables shall allow a minimum of ten (10) working days for </w:t>
      </w:r>
      <w:proofErr w:type="spellStart"/>
      <w:r w:rsidRPr="00A2271A">
        <w:rPr>
          <w:rFonts w:ascii="Lato" w:hAnsi="Lato"/>
          <w:lang w:val="en-GB"/>
        </w:rPr>
        <w:t>MoES</w:t>
      </w:r>
      <w:proofErr w:type="spellEnd"/>
      <w:r w:rsidRPr="00A2271A">
        <w:rPr>
          <w:rFonts w:ascii="Lato" w:hAnsi="Lato"/>
          <w:lang w:val="en-GB"/>
        </w:rPr>
        <w:t xml:space="preserve"> and partner review before revision. Final deliverables must incorporate all feedback from the validation process.</w:t>
      </w:r>
    </w:p>
    <w:p w14:paraId="3E5270DD" w14:textId="38F39181" w:rsidR="00517745" w:rsidRPr="00A2271A" w:rsidRDefault="00517745" w:rsidP="005B6CC5">
      <w:pPr>
        <w:spacing w:after="160" w:line="240" w:lineRule="auto"/>
        <w:rPr>
          <w:rFonts w:ascii="Lato" w:hAnsi="Lato"/>
          <w:b/>
          <w:bCs/>
          <w:color w:val="000000" w:themeColor="text1"/>
          <w:sz w:val="20"/>
          <w:szCs w:val="20"/>
        </w:rPr>
      </w:pPr>
    </w:p>
    <w:sectPr w:rsidR="00517745" w:rsidRPr="00A2271A" w:rsidSect="00DB0EA5">
      <w:headerReference w:type="default" r:id="rId18"/>
      <w:footerReference w:type="default" r:id="rId19"/>
      <w:pgSz w:w="12240" w:h="15840"/>
      <w:pgMar w:top="1008" w:right="1080" w:bottom="432"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E6278" w14:textId="77777777" w:rsidR="00CA044F" w:rsidRDefault="00CA044F" w:rsidP="00B92FE6">
      <w:pPr>
        <w:spacing w:after="0" w:line="240" w:lineRule="auto"/>
      </w:pPr>
      <w:r>
        <w:separator/>
      </w:r>
    </w:p>
  </w:endnote>
  <w:endnote w:type="continuationSeparator" w:id="0">
    <w:p w14:paraId="0B309A83" w14:textId="77777777" w:rsidR="00CA044F" w:rsidRDefault="00CA044F" w:rsidP="00B92FE6">
      <w:pPr>
        <w:spacing w:after="0" w:line="240" w:lineRule="auto"/>
      </w:pPr>
      <w:r>
        <w:continuationSeparator/>
      </w:r>
    </w:p>
  </w:endnote>
  <w:endnote w:type="continuationNotice" w:id="1">
    <w:p w14:paraId="537AE685" w14:textId="77777777" w:rsidR="00CA044F" w:rsidRDefault="00CA04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panose1 w:val="020F0502020204030203"/>
    <w:charset w:val="00"/>
    <w:family w:val="swiss"/>
    <w:pitch w:val="variable"/>
    <w:sig w:usb0="A00000AF" w:usb1="5000604B"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D7EE" w14:textId="77777777" w:rsidR="005C5EFC" w:rsidRPr="00E54B6A" w:rsidRDefault="005C5EFC">
    <w:pPr>
      <w:pStyle w:val="Footer"/>
      <w:jc w:val="center"/>
      <w:rPr>
        <w:rFonts w:ascii="Gill Sans MT" w:hAnsi="Gill Sans MT"/>
        <w:sz w:val="18"/>
        <w:szCs w:val="18"/>
      </w:rPr>
    </w:pPr>
    <w:r w:rsidRPr="00E54B6A">
      <w:rPr>
        <w:rFonts w:ascii="Gill Sans MT" w:hAnsi="Gill Sans MT"/>
        <w:sz w:val="18"/>
        <w:szCs w:val="18"/>
      </w:rPr>
      <w:t xml:space="preserve">Page </w:t>
    </w:r>
    <w:r w:rsidRPr="00E54B6A">
      <w:rPr>
        <w:rFonts w:ascii="Gill Sans MT" w:hAnsi="Gill Sans MT"/>
        <w:b/>
        <w:bCs/>
        <w:sz w:val="18"/>
        <w:szCs w:val="18"/>
      </w:rPr>
      <w:fldChar w:fldCharType="begin"/>
    </w:r>
    <w:r w:rsidRPr="00E54B6A">
      <w:rPr>
        <w:rFonts w:ascii="Gill Sans MT" w:hAnsi="Gill Sans MT"/>
        <w:b/>
        <w:bCs/>
        <w:sz w:val="18"/>
        <w:szCs w:val="18"/>
      </w:rPr>
      <w:instrText xml:space="preserve"> PAGE </w:instrText>
    </w:r>
    <w:r w:rsidRPr="00E54B6A">
      <w:rPr>
        <w:rFonts w:ascii="Gill Sans MT" w:hAnsi="Gill Sans MT"/>
        <w:b/>
        <w:bCs/>
        <w:sz w:val="18"/>
        <w:szCs w:val="18"/>
      </w:rPr>
      <w:fldChar w:fldCharType="separate"/>
    </w:r>
    <w:r>
      <w:rPr>
        <w:rFonts w:ascii="Gill Sans MT" w:hAnsi="Gill Sans MT"/>
        <w:b/>
        <w:bCs/>
        <w:noProof/>
        <w:sz w:val="18"/>
        <w:szCs w:val="18"/>
      </w:rPr>
      <w:t>6</w:t>
    </w:r>
    <w:r w:rsidRPr="00E54B6A">
      <w:rPr>
        <w:rFonts w:ascii="Gill Sans MT" w:hAnsi="Gill Sans MT"/>
        <w:b/>
        <w:bCs/>
        <w:sz w:val="18"/>
        <w:szCs w:val="18"/>
      </w:rPr>
      <w:fldChar w:fldCharType="end"/>
    </w:r>
    <w:r w:rsidRPr="00E54B6A">
      <w:rPr>
        <w:rFonts w:ascii="Gill Sans MT" w:hAnsi="Gill Sans MT"/>
        <w:sz w:val="18"/>
        <w:szCs w:val="18"/>
      </w:rPr>
      <w:t xml:space="preserve"> of </w:t>
    </w:r>
    <w:r w:rsidRPr="00E54B6A">
      <w:rPr>
        <w:rFonts w:ascii="Gill Sans MT" w:hAnsi="Gill Sans MT"/>
        <w:b/>
        <w:bCs/>
        <w:sz w:val="18"/>
        <w:szCs w:val="18"/>
      </w:rPr>
      <w:fldChar w:fldCharType="begin"/>
    </w:r>
    <w:r w:rsidRPr="00E54B6A">
      <w:rPr>
        <w:rFonts w:ascii="Gill Sans MT" w:hAnsi="Gill Sans MT"/>
        <w:b/>
        <w:bCs/>
        <w:sz w:val="18"/>
        <w:szCs w:val="18"/>
      </w:rPr>
      <w:instrText xml:space="preserve"> NUMPAGES  </w:instrText>
    </w:r>
    <w:r w:rsidRPr="00E54B6A">
      <w:rPr>
        <w:rFonts w:ascii="Gill Sans MT" w:hAnsi="Gill Sans MT"/>
        <w:b/>
        <w:bCs/>
        <w:sz w:val="18"/>
        <w:szCs w:val="18"/>
      </w:rPr>
      <w:fldChar w:fldCharType="separate"/>
    </w:r>
    <w:r>
      <w:rPr>
        <w:rFonts w:ascii="Gill Sans MT" w:hAnsi="Gill Sans MT"/>
        <w:b/>
        <w:bCs/>
        <w:noProof/>
        <w:sz w:val="18"/>
        <w:szCs w:val="18"/>
      </w:rPr>
      <w:t>6</w:t>
    </w:r>
    <w:r w:rsidRPr="00E54B6A">
      <w:rPr>
        <w:rFonts w:ascii="Gill Sans MT" w:hAnsi="Gill Sans MT"/>
        <w:b/>
        <w:bCs/>
        <w:sz w:val="18"/>
        <w:szCs w:val="18"/>
      </w:rPr>
      <w:fldChar w:fldCharType="end"/>
    </w:r>
  </w:p>
  <w:p w14:paraId="59CB6F58" w14:textId="77777777" w:rsidR="005C5EFC" w:rsidRDefault="005C5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E9EBB" w14:textId="77777777" w:rsidR="00CA044F" w:rsidRDefault="00CA044F" w:rsidP="00B92FE6">
      <w:pPr>
        <w:spacing w:after="0" w:line="240" w:lineRule="auto"/>
      </w:pPr>
      <w:bookmarkStart w:id="0" w:name="_Hlk189997234"/>
      <w:bookmarkEnd w:id="0"/>
      <w:r>
        <w:separator/>
      </w:r>
    </w:p>
  </w:footnote>
  <w:footnote w:type="continuationSeparator" w:id="0">
    <w:p w14:paraId="2D7A0B18" w14:textId="77777777" w:rsidR="00CA044F" w:rsidRDefault="00CA044F" w:rsidP="00B92FE6">
      <w:pPr>
        <w:spacing w:after="0" w:line="240" w:lineRule="auto"/>
      </w:pPr>
      <w:r>
        <w:continuationSeparator/>
      </w:r>
    </w:p>
  </w:footnote>
  <w:footnote w:type="continuationNotice" w:id="1">
    <w:p w14:paraId="647AD24F" w14:textId="77777777" w:rsidR="00CA044F" w:rsidRDefault="00CA04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9A45" w14:textId="3E3D1235" w:rsidR="00294DD7" w:rsidRDefault="00294DD7" w:rsidP="00885C87">
    <w:pPr>
      <w:pStyle w:val="Header"/>
      <w:jc w:val="right"/>
    </w:pPr>
  </w:p>
  <w:p w14:paraId="754BFB0B" w14:textId="0C4B71FC" w:rsidR="00294DD7" w:rsidRDefault="00F1080F" w:rsidP="00885C87">
    <w:pPr>
      <w:pStyle w:val="Header"/>
      <w:jc w:val="right"/>
    </w:pPr>
    <w:r>
      <w:rPr>
        <w:noProof/>
        <w:lang w:val="en-GB" w:eastAsia="en-GB"/>
      </w:rPr>
      <w:drawing>
        <wp:inline distT="0" distB="0" distL="0" distR="0" wp14:anchorId="45608299" wp14:editId="227F0E50">
          <wp:extent cx="2178685" cy="4337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685" cy="433705"/>
                  </a:xfrm>
                  <a:prstGeom prst="rect">
                    <a:avLst/>
                  </a:prstGeom>
                  <a:noFill/>
                </pic:spPr>
              </pic:pic>
            </a:graphicData>
          </a:graphic>
        </wp:inline>
      </w:drawing>
    </w:r>
  </w:p>
  <w:p w14:paraId="651907EF" w14:textId="40698CA2" w:rsidR="00E60275" w:rsidRDefault="00E60275" w:rsidP="00F108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0393C"/>
    <w:multiLevelType w:val="hybridMultilevel"/>
    <w:tmpl w:val="00B20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AD7A01"/>
    <w:multiLevelType w:val="hybridMultilevel"/>
    <w:tmpl w:val="8200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850B05"/>
    <w:multiLevelType w:val="hybridMultilevel"/>
    <w:tmpl w:val="BE72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13371"/>
    <w:multiLevelType w:val="hybridMultilevel"/>
    <w:tmpl w:val="7BFABDA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60166F66"/>
    <w:multiLevelType w:val="hybridMultilevel"/>
    <w:tmpl w:val="E8C8DE28"/>
    <w:lvl w:ilvl="0" w:tplc="4F561470">
      <w:start w:val="1"/>
      <w:numFmt w:val="bullet"/>
      <w:lvlText w:val="•"/>
      <w:lvlJc w:val="left"/>
      <w:pPr>
        <w:ind w:left="720" w:hanging="360"/>
      </w:pPr>
    </w:lvl>
    <w:lvl w:ilvl="1" w:tplc="95205E3E">
      <w:start w:val="1"/>
      <w:numFmt w:val="bullet"/>
      <w:lvlText w:val="◦"/>
      <w:lvlJc w:val="left"/>
      <w:pPr>
        <w:ind w:left="1080" w:hanging="360"/>
      </w:pPr>
    </w:lvl>
    <w:lvl w:ilvl="2" w:tplc="FDA41458">
      <w:numFmt w:val="decimal"/>
      <w:lvlText w:val=""/>
      <w:lvlJc w:val="left"/>
    </w:lvl>
    <w:lvl w:ilvl="3" w:tplc="B5F4087E">
      <w:numFmt w:val="decimal"/>
      <w:lvlText w:val=""/>
      <w:lvlJc w:val="left"/>
    </w:lvl>
    <w:lvl w:ilvl="4" w:tplc="4AE0DB2C">
      <w:numFmt w:val="decimal"/>
      <w:lvlText w:val=""/>
      <w:lvlJc w:val="left"/>
    </w:lvl>
    <w:lvl w:ilvl="5" w:tplc="B85C4144">
      <w:numFmt w:val="decimal"/>
      <w:lvlText w:val=""/>
      <w:lvlJc w:val="left"/>
    </w:lvl>
    <w:lvl w:ilvl="6" w:tplc="24E029E6">
      <w:numFmt w:val="decimal"/>
      <w:lvlText w:val=""/>
      <w:lvlJc w:val="left"/>
    </w:lvl>
    <w:lvl w:ilvl="7" w:tplc="D2C0895C">
      <w:numFmt w:val="decimal"/>
      <w:lvlText w:val=""/>
      <w:lvlJc w:val="left"/>
    </w:lvl>
    <w:lvl w:ilvl="8" w:tplc="09D8116A">
      <w:numFmt w:val="decimal"/>
      <w:lvlText w:val=""/>
      <w:lvlJc w:val="left"/>
    </w:lvl>
  </w:abstractNum>
  <w:abstractNum w:abstractNumId="5" w15:restartNumberingAfterBreak="0">
    <w:nsid w:val="694A0828"/>
    <w:multiLevelType w:val="multilevel"/>
    <w:tmpl w:val="A572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6D22DE"/>
    <w:multiLevelType w:val="hybridMultilevel"/>
    <w:tmpl w:val="62E2CBF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FC5589"/>
    <w:multiLevelType w:val="multilevel"/>
    <w:tmpl w:val="411E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2505720">
    <w:abstractNumId w:val="6"/>
  </w:num>
  <w:num w:numId="2" w16cid:durableId="847594738">
    <w:abstractNumId w:val="1"/>
  </w:num>
  <w:num w:numId="3" w16cid:durableId="1279147279">
    <w:abstractNumId w:val="0"/>
  </w:num>
  <w:num w:numId="4" w16cid:durableId="1682583630">
    <w:abstractNumId w:val="2"/>
  </w:num>
  <w:num w:numId="5" w16cid:durableId="1578595751">
    <w:abstractNumId w:val="5"/>
  </w:num>
  <w:num w:numId="6" w16cid:durableId="1420835895">
    <w:abstractNumId w:val="4"/>
    <w:lvlOverride w:ilvl="0">
      <w:startOverride w:val="1"/>
    </w:lvlOverride>
  </w:num>
  <w:num w:numId="7" w16cid:durableId="507407859">
    <w:abstractNumId w:val="7"/>
  </w:num>
  <w:num w:numId="8" w16cid:durableId="66644302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xtzQ1NTc1NLU0MTVT0lEKTi0uzszPAykwqgUA0bJlKiwAAAA="/>
  </w:docVars>
  <w:rsids>
    <w:rsidRoot w:val="00B92FE6"/>
    <w:rsid w:val="00000ABE"/>
    <w:rsid w:val="000033CA"/>
    <w:rsid w:val="000176FB"/>
    <w:rsid w:val="00017DF8"/>
    <w:rsid w:val="00021354"/>
    <w:rsid w:val="000262F6"/>
    <w:rsid w:val="0003085B"/>
    <w:rsid w:val="00032A94"/>
    <w:rsid w:val="0003424C"/>
    <w:rsid w:val="00040453"/>
    <w:rsid w:val="00040BDC"/>
    <w:rsid w:val="00042C34"/>
    <w:rsid w:val="0004487E"/>
    <w:rsid w:val="0005072C"/>
    <w:rsid w:val="0005313D"/>
    <w:rsid w:val="000600E8"/>
    <w:rsid w:val="0006055D"/>
    <w:rsid w:val="00060863"/>
    <w:rsid w:val="00060B1B"/>
    <w:rsid w:val="000635E0"/>
    <w:rsid w:val="000645E2"/>
    <w:rsid w:val="0006518C"/>
    <w:rsid w:val="00066CE6"/>
    <w:rsid w:val="00070594"/>
    <w:rsid w:val="00072738"/>
    <w:rsid w:val="00076F9F"/>
    <w:rsid w:val="00077260"/>
    <w:rsid w:val="00082213"/>
    <w:rsid w:val="00082F13"/>
    <w:rsid w:val="000833FC"/>
    <w:rsid w:val="000868F2"/>
    <w:rsid w:val="000909F6"/>
    <w:rsid w:val="0009152B"/>
    <w:rsid w:val="000933DC"/>
    <w:rsid w:val="00093DBF"/>
    <w:rsid w:val="000A191F"/>
    <w:rsid w:val="000A3B9D"/>
    <w:rsid w:val="000A574E"/>
    <w:rsid w:val="000A5D31"/>
    <w:rsid w:val="000A5D85"/>
    <w:rsid w:val="000A6953"/>
    <w:rsid w:val="000A74C2"/>
    <w:rsid w:val="000A7D8F"/>
    <w:rsid w:val="000B466E"/>
    <w:rsid w:val="000B49E0"/>
    <w:rsid w:val="000B4A4E"/>
    <w:rsid w:val="000B5C1C"/>
    <w:rsid w:val="000C62F2"/>
    <w:rsid w:val="000D1D10"/>
    <w:rsid w:val="000D45C9"/>
    <w:rsid w:val="000D58AE"/>
    <w:rsid w:val="000D7B8D"/>
    <w:rsid w:val="000E0E29"/>
    <w:rsid w:val="000E228F"/>
    <w:rsid w:val="000E3B4D"/>
    <w:rsid w:val="000E6452"/>
    <w:rsid w:val="000E71D5"/>
    <w:rsid w:val="000F52D9"/>
    <w:rsid w:val="000F6C05"/>
    <w:rsid w:val="0010102B"/>
    <w:rsid w:val="00105880"/>
    <w:rsid w:val="00105894"/>
    <w:rsid w:val="00107F1D"/>
    <w:rsid w:val="00110538"/>
    <w:rsid w:val="00110661"/>
    <w:rsid w:val="00110F45"/>
    <w:rsid w:val="001133FD"/>
    <w:rsid w:val="00114A1B"/>
    <w:rsid w:val="001169DD"/>
    <w:rsid w:val="00116EBF"/>
    <w:rsid w:val="00122C6A"/>
    <w:rsid w:val="00125284"/>
    <w:rsid w:val="001254E8"/>
    <w:rsid w:val="001259BE"/>
    <w:rsid w:val="00126131"/>
    <w:rsid w:val="00126565"/>
    <w:rsid w:val="0013104D"/>
    <w:rsid w:val="00131DB9"/>
    <w:rsid w:val="00133950"/>
    <w:rsid w:val="001352AA"/>
    <w:rsid w:val="00135836"/>
    <w:rsid w:val="00135CBC"/>
    <w:rsid w:val="00140C83"/>
    <w:rsid w:val="00143323"/>
    <w:rsid w:val="001450B0"/>
    <w:rsid w:val="001458BD"/>
    <w:rsid w:val="0014653F"/>
    <w:rsid w:val="00150097"/>
    <w:rsid w:val="001509EC"/>
    <w:rsid w:val="00151587"/>
    <w:rsid w:val="0015293B"/>
    <w:rsid w:val="00156FFC"/>
    <w:rsid w:val="00162DDB"/>
    <w:rsid w:val="00163434"/>
    <w:rsid w:val="0016551B"/>
    <w:rsid w:val="0016574B"/>
    <w:rsid w:val="001707B0"/>
    <w:rsid w:val="0017349D"/>
    <w:rsid w:val="00174D91"/>
    <w:rsid w:val="00174DD1"/>
    <w:rsid w:val="00180E4B"/>
    <w:rsid w:val="00181248"/>
    <w:rsid w:val="00181257"/>
    <w:rsid w:val="00181641"/>
    <w:rsid w:val="00182267"/>
    <w:rsid w:val="00183362"/>
    <w:rsid w:val="00186F78"/>
    <w:rsid w:val="00187599"/>
    <w:rsid w:val="00190A63"/>
    <w:rsid w:val="00190EA4"/>
    <w:rsid w:val="00196501"/>
    <w:rsid w:val="00196A64"/>
    <w:rsid w:val="001A0947"/>
    <w:rsid w:val="001A17C7"/>
    <w:rsid w:val="001A5935"/>
    <w:rsid w:val="001A7A81"/>
    <w:rsid w:val="001A7DF8"/>
    <w:rsid w:val="001B50FB"/>
    <w:rsid w:val="001B59DF"/>
    <w:rsid w:val="001B6EF1"/>
    <w:rsid w:val="001C0DFF"/>
    <w:rsid w:val="001C1C27"/>
    <w:rsid w:val="001C2E7F"/>
    <w:rsid w:val="001C3F62"/>
    <w:rsid w:val="001C411B"/>
    <w:rsid w:val="001C7D1E"/>
    <w:rsid w:val="001D1048"/>
    <w:rsid w:val="001E60CA"/>
    <w:rsid w:val="001E6298"/>
    <w:rsid w:val="001F1046"/>
    <w:rsid w:val="001F1F92"/>
    <w:rsid w:val="001F200B"/>
    <w:rsid w:val="001F3291"/>
    <w:rsid w:val="001F4763"/>
    <w:rsid w:val="001F5F76"/>
    <w:rsid w:val="002011A8"/>
    <w:rsid w:val="0020266D"/>
    <w:rsid w:val="00202A94"/>
    <w:rsid w:val="00210020"/>
    <w:rsid w:val="00210848"/>
    <w:rsid w:val="00212476"/>
    <w:rsid w:val="002127BE"/>
    <w:rsid w:val="00215111"/>
    <w:rsid w:val="0021586C"/>
    <w:rsid w:val="0021631E"/>
    <w:rsid w:val="00216F86"/>
    <w:rsid w:val="00221474"/>
    <w:rsid w:val="0022600F"/>
    <w:rsid w:val="002278BD"/>
    <w:rsid w:val="00230D4A"/>
    <w:rsid w:val="00232291"/>
    <w:rsid w:val="00232991"/>
    <w:rsid w:val="0023556C"/>
    <w:rsid w:val="00242BDA"/>
    <w:rsid w:val="00243006"/>
    <w:rsid w:val="00243E1C"/>
    <w:rsid w:val="0025084B"/>
    <w:rsid w:val="002509AE"/>
    <w:rsid w:val="00251362"/>
    <w:rsid w:val="00251D66"/>
    <w:rsid w:val="00252A58"/>
    <w:rsid w:val="00252E45"/>
    <w:rsid w:val="0025444E"/>
    <w:rsid w:val="0025675B"/>
    <w:rsid w:val="00256872"/>
    <w:rsid w:val="00257F1E"/>
    <w:rsid w:val="002622D4"/>
    <w:rsid w:val="00264A2C"/>
    <w:rsid w:val="00265950"/>
    <w:rsid w:val="002660A2"/>
    <w:rsid w:val="00270933"/>
    <w:rsid w:val="00272625"/>
    <w:rsid w:val="00274281"/>
    <w:rsid w:val="0027700A"/>
    <w:rsid w:val="002818C8"/>
    <w:rsid w:val="002821F8"/>
    <w:rsid w:val="00282AA4"/>
    <w:rsid w:val="002860B6"/>
    <w:rsid w:val="00286EED"/>
    <w:rsid w:val="002874F0"/>
    <w:rsid w:val="00293275"/>
    <w:rsid w:val="00293902"/>
    <w:rsid w:val="00294DD7"/>
    <w:rsid w:val="002A16AD"/>
    <w:rsid w:val="002A3994"/>
    <w:rsid w:val="002A601F"/>
    <w:rsid w:val="002A6498"/>
    <w:rsid w:val="002A74A1"/>
    <w:rsid w:val="002B0F56"/>
    <w:rsid w:val="002B5CA7"/>
    <w:rsid w:val="002C0CC0"/>
    <w:rsid w:val="002C1957"/>
    <w:rsid w:val="002C21C5"/>
    <w:rsid w:val="002C274E"/>
    <w:rsid w:val="002C3C53"/>
    <w:rsid w:val="002C5E2C"/>
    <w:rsid w:val="002D152B"/>
    <w:rsid w:val="002D271D"/>
    <w:rsid w:val="002E02D0"/>
    <w:rsid w:val="002E3E10"/>
    <w:rsid w:val="002E4943"/>
    <w:rsid w:val="002E6AC5"/>
    <w:rsid w:val="002E6D4F"/>
    <w:rsid w:val="002F02F7"/>
    <w:rsid w:val="002F0977"/>
    <w:rsid w:val="002F0A4A"/>
    <w:rsid w:val="002F109A"/>
    <w:rsid w:val="002F14E3"/>
    <w:rsid w:val="002F1FAE"/>
    <w:rsid w:val="002F2D26"/>
    <w:rsid w:val="002F2EBA"/>
    <w:rsid w:val="002F4376"/>
    <w:rsid w:val="002F5CBD"/>
    <w:rsid w:val="002F7DC8"/>
    <w:rsid w:val="00300147"/>
    <w:rsid w:val="003029CF"/>
    <w:rsid w:val="0030317C"/>
    <w:rsid w:val="0031042C"/>
    <w:rsid w:val="00314210"/>
    <w:rsid w:val="0031532D"/>
    <w:rsid w:val="003178CE"/>
    <w:rsid w:val="00317A8F"/>
    <w:rsid w:val="00320EFF"/>
    <w:rsid w:val="003225E5"/>
    <w:rsid w:val="00322BDA"/>
    <w:rsid w:val="003233F7"/>
    <w:rsid w:val="003260F6"/>
    <w:rsid w:val="00331644"/>
    <w:rsid w:val="00331869"/>
    <w:rsid w:val="00332790"/>
    <w:rsid w:val="0033656F"/>
    <w:rsid w:val="00340E1A"/>
    <w:rsid w:val="00343842"/>
    <w:rsid w:val="00343858"/>
    <w:rsid w:val="00343CD6"/>
    <w:rsid w:val="00345C52"/>
    <w:rsid w:val="003462BD"/>
    <w:rsid w:val="00347FE7"/>
    <w:rsid w:val="003521F6"/>
    <w:rsid w:val="00352C88"/>
    <w:rsid w:val="0035362F"/>
    <w:rsid w:val="00354BE3"/>
    <w:rsid w:val="00355E34"/>
    <w:rsid w:val="00355F6D"/>
    <w:rsid w:val="00356550"/>
    <w:rsid w:val="00357F6F"/>
    <w:rsid w:val="00360A32"/>
    <w:rsid w:val="003650C8"/>
    <w:rsid w:val="00373EBF"/>
    <w:rsid w:val="003763C6"/>
    <w:rsid w:val="00380AFF"/>
    <w:rsid w:val="003819FD"/>
    <w:rsid w:val="00381CA1"/>
    <w:rsid w:val="003822B9"/>
    <w:rsid w:val="0038696C"/>
    <w:rsid w:val="00387835"/>
    <w:rsid w:val="00391734"/>
    <w:rsid w:val="0039386E"/>
    <w:rsid w:val="00395A5D"/>
    <w:rsid w:val="00396194"/>
    <w:rsid w:val="003A0FD7"/>
    <w:rsid w:val="003A1E77"/>
    <w:rsid w:val="003A21C1"/>
    <w:rsid w:val="003A4B7D"/>
    <w:rsid w:val="003A4E43"/>
    <w:rsid w:val="003A64B1"/>
    <w:rsid w:val="003A78F3"/>
    <w:rsid w:val="003B1455"/>
    <w:rsid w:val="003B197E"/>
    <w:rsid w:val="003B20D1"/>
    <w:rsid w:val="003B21C8"/>
    <w:rsid w:val="003B4DCA"/>
    <w:rsid w:val="003B53AE"/>
    <w:rsid w:val="003B587F"/>
    <w:rsid w:val="003B6D5E"/>
    <w:rsid w:val="003B6DDC"/>
    <w:rsid w:val="003C08B4"/>
    <w:rsid w:val="003C34C1"/>
    <w:rsid w:val="003C4C1D"/>
    <w:rsid w:val="003C6947"/>
    <w:rsid w:val="003C6A22"/>
    <w:rsid w:val="003D1E81"/>
    <w:rsid w:val="003D283C"/>
    <w:rsid w:val="003D3A26"/>
    <w:rsid w:val="003D4B0D"/>
    <w:rsid w:val="003D4C56"/>
    <w:rsid w:val="003D6F33"/>
    <w:rsid w:val="003D6F36"/>
    <w:rsid w:val="003E0043"/>
    <w:rsid w:val="003E1F4E"/>
    <w:rsid w:val="003E24EE"/>
    <w:rsid w:val="003E3384"/>
    <w:rsid w:val="003E4AB7"/>
    <w:rsid w:val="003E5AB9"/>
    <w:rsid w:val="003F1E4F"/>
    <w:rsid w:val="003F2ACF"/>
    <w:rsid w:val="003F41BD"/>
    <w:rsid w:val="003F638D"/>
    <w:rsid w:val="003F6A97"/>
    <w:rsid w:val="00400F5F"/>
    <w:rsid w:val="0040190C"/>
    <w:rsid w:val="00402A62"/>
    <w:rsid w:val="00403E24"/>
    <w:rsid w:val="00404AB8"/>
    <w:rsid w:val="00404B5B"/>
    <w:rsid w:val="004055CE"/>
    <w:rsid w:val="004077DE"/>
    <w:rsid w:val="0040791C"/>
    <w:rsid w:val="00407E4D"/>
    <w:rsid w:val="00416B82"/>
    <w:rsid w:val="00424E47"/>
    <w:rsid w:val="00425A88"/>
    <w:rsid w:val="00430D2C"/>
    <w:rsid w:val="00431750"/>
    <w:rsid w:val="00431773"/>
    <w:rsid w:val="0043475C"/>
    <w:rsid w:val="00435F79"/>
    <w:rsid w:val="00437408"/>
    <w:rsid w:val="0043772B"/>
    <w:rsid w:val="004402DD"/>
    <w:rsid w:val="004441EA"/>
    <w:rsid w:val="00447087"/>
    <w:rsid w:val="00453070"/>
    <w:rsid w:val="00455026"/>
    <w:rsid w:val="00461FDF"/>
    <w:rsid w:val="00462FE6"/>
    <w:rsid w:val="00464564"/>
    <w:rsid w:val="00466F1A"/>
    <w:rsid w:val="00467722"/>
    <w:rsid w:val="00470125"/>
    <w:rsid w:val="004705CA"/>
    <w:rsid w:val="00471A3C"/>
    <w:rsid w:val="00472275"/>
    <w:rsid w:val="00472316"/>
    <w:rsid w:val="0047339D"/>
    <w:rsid w:val="00474B96"/>
    <w:rsid w:val="00474E0E"/>
    <w:rsid w:val="00477744"/>
    <w:rsid w:val="0048077B"/>
    <w:rsid w:val="00480A75"/>
    <w:rsid w:val="004813A2"/>
    <w:rsid w:val="004816DB"/>
    <w:rsid w:val="00482487"/>
    <w:rsid w:val="00484241"/>
    <w:rsid w:val="00485FD5"/>
    <w:rsid w:val="00486560"/>
    <w:rsid w:val="00487A77"/>
    <w:rsid w:val="0049048E"/>
    <w:rsid w:val="00493007"/>
    <w:rsid w:val="00493F44"/>
    <w:rsid w:val="004952DF"/>
    <w:rsid w:val="004A087C"/>
    <w:rsid w:val="004A2B7F"/>
    <w:rsid w:val="004A357F"/>
    <w:rsid w:val="004A4262"/>
    <w:rsid w:val="004A427B"/>
    <w:rsid w:val="004A64C6"/>
    <w:rsid w:val="004B1CB6"/>
    <w:rsid w:val="004B40AA"/>
    <w:rsid w:val="004B593B"/>
    <w:rsid w:val="004C005D"/>
    <w:rsid w:val="004C0910"/>
    <w:rsid w:val="004C0EE6"/>
    <w:rsid w:val="004C10CE"/>
    <w:rsid w:val="004C27F3"/>
    <w:rsid w:val="004C322B"/>
    <w:rsid w:val="004C3601"/>
    <w:rsid w:val="004C6A31"/>
    <w:rsid w:val="004C7DE7"/>
    <w:rsid w:val="004D250F"/>
    <w:rsid w:val="004D3BAF"/>
    <w:rsid w:val="004D6042"/>
    <w:rsid w:val="004E162C"/>
    <w:rsid w:val="004E2507"/>
    <w:rsid w:val="004E38D3"/>
    <w:rsid w:val="004E39D1"/>
    <w:rsid w:val="004E4082"/>
    <w:rsid w:val="004E4521"/>
    <w:rsid w:val="004E5032"/>
    <w:rsid w:val="004E5E12"/>
    <w:rsid w:val="004E6D40"/>
    <w:rsid w:val="004F336D"/>
    <w:rsid w:val="004F5682"/>
    <w:rsid w:val="004F578F"/>
    <w:rsid w:val="004F797E"/>
    <w:rsid w:val="00500826"/>
    <w:rsid w:val="00502B4C"/>
    <w:rsid w:val="00502E1D"/>
    <w:rsid w:val="005032F9"/>
    <w:rsid w:val="00504A7B"/>
    <w:rsid w:val="00506A54"/>
    <w:rsid w:val="0051035F"/>
    <w:rsid w:val="005103DA"/>
    <w:rsid w:val="00510917"/>
    <w:rsid w:val="005132E0"/>
    <w:rsid w:val="005137AF"/>
    <w:rsid w:val="00517745"/>
    <w:rsid w:val="00522F1F"/>
    <w:rsid w:val="005241A2"/>
    <w:rsid w:val="00524EE7"/>
    <w:rsid w:val="005262FC"/>
    <w:rsid w:val="0053050F"/>
    <w:rsid w:val="005305B3"/>
    <w:rsid w:val="005310AD"/>
    <w:rsid w:val="00534EB9"/>
    <w:rsid w:val="00534F50"/>
    <w:rsid w:val="005365B7"/>
    <w:rsid w:val="005400B6"/>
    <w:rsid w:val="0054085C"/>
    <w:rsid w:val="00541716"/>
    <w:rsid w:val="005445F4"/>
    <w:rsid w:val="0054543F"/>
    <w:rsid w:val="0054575A"/>
    <w:rsid w:val="00546DB3"/>
    <w:rsid w:val="005472AC"/>
    <w:rsid w:val="0054737D"/>
    <w:rsid w:val="00550C08"/>
    <w:rsid w:val="00551091"/>
    <w:rsid w:val="00553727"/>
    <w:rsid w:val="00560239"/>
    <w:rsid w:val="00560D71"/>
    <w:rsid w:val="00574B50"/>
    <w:rsid w:val="00574E6F"/>
    <w:rsid w:val="0057516B"/>
    <w:rsid w:val="00575BA2"/>
    <w:rsid w:val="00576D69"/>
    <w:rsid w:val="00577459"/>
    <w:rsid w:val="00577524"/>
    <w:rsid w:val="00583947"/>
    <w:rsid w:val="00586DD9"/>
    <w:rsid w:val="00593508"/>
    <w:rsid w:val="00594184"/>
    <w:rsid w:val="005951BF"/>
    <w:rsid w:val="00596B07"/>
    <w:rsid w:val="00597CB1"/>
    <w:rsid w:val="005A203B"/>
    <w:rsid w:val="005A23CE"/>
    <w:rsid w:val="005A6D2D"/>
    <w:rsid w:val="005B259A"/>
    <w:rsid w:val="005B4C19"/>
    <w:rsid w:val="005B561A"/>
    <w:rsid w:val="005B56A7"/>
    <w:rsid w:val="005B6CC5"/>
    <w:rsid w:val="005C143B"/>
    <w:rsid w:val="005C446A"/>
    <w:rsid w:val="005C5A78"/>
    <w:rsid w:val="005C5EFC"/>
    <w:rsid w:val="005C67C1"/>
    <w:rsid w:val="005D566B"/>
    <w:rsid w:val="005D6E00"/>
    <w:rsid w:val="005E17F5"/>
    <w:rsid w:val="005E1AE3"/>
    <w:rsid w:val="005E3E28"/>
    <w:rsid w:val="005E5D03"/>
    <w:rsid w:val="005F0726"/>
    <w:rsid w:val="005F3514"/>
    <w:rsid w:val="005F5866"/>
    <w:rsid w:val="006012A2"/>
    <w:rsid w:val="00604636"/>
    <w:rsid w:val="00604A78"/>
    <w:rsid w:val="006057D6"/>
    <w:rsid w:val="00610698"/>
    <w:rsid w:val="00613A32"/>
    <w:rsid w:val="0061458A"/>
    <w:rsid w:val="00623081"/>
    <w:rsid w:val="006240E4"/>
    <w:rsid w:val="00632683"/>
    <w:rsid w:val="00632703"/>
    <w:rsid w:val="00632F28"/>
    <w:rsid w:val="00633030"/>
    <w:rsid w:val="00633415"/>
    <w:rsid w:val="00635BC4"/>
    <w:rsid w:val="006365A1"/>
    <w:rsid w:val="0063723A"/>
    <w:rsid w:val="006376FD"/>
    <w:rsid w:val="00637751"/>
    <w:rsid w:val="006401B5"/>
    <w:rsid w:val="006403BD"/>
    <w:rsid w:val="00640F91"/>
    <w:rsid w:val="006411A2"/>
    <w:rsid w:val="00642E31"/>
    <w:rsid w:val="00645E0C"/>
    <w:rsid w:val="006518F8"/>
    <w:rsid w:val="00652408"/>
    <w:rsid w:val="00655A44"/>
    <w:rsid w:val="0066187A"/>
    <w:rsid w:val="00664845"/>
    <w:rsid w:val="00664A8A"/>
    <w:rsid w:val="00665550"/>
    <w:rsid w:val="006664BD"/>
    <w:rsid w:val="00666593"/>
    <w:rsid w:val="00666C81"/>
    <w:rsid w:val="00671229"/>
    <w:rsid w:val="00676F52"/>
    <w:rsid w:val="0067765A"/>
    <w:rsid w:val="0068021D"/>
    <w:rsid w:val="00681063"/>
    <w:rsid w:val="00681105"/>
    <w:rsid w:val="006840BC"/>
    <w:rsid w:val="00690359"/>
    <w:rsid w:val="00690B14"/>
    <w:rsid w:val="00690B54"/>
    <w:rsid w:val="0069216D"/>
    <w:rsid w:val="00692ACE"/>
    <w:rsid w:val="006952EE"/>
    <w:rsid w:val="0069737C"/>
    <w:rsid w:val="00697609"/>
    <w:rsid w:val="006A221A"/>
    <w:rsid w:val="006A24BC"/>
    <w:rsid w:val="006A2FBC"/>
    <w:rsid w:val="006A7B8C"/>
    <w:rsid w:val="006B0CF6"/>
    <w:rsid w:val="006B227D"/>
    <w:rsid w:val="006B2AA6"/>
    <w:rsid w:val="006B2F7B"/>
    <w:rsid w:val="006B67B3"/>
    <w:rsid w:val="006C0F37"/>
    <w:rsid w:val="006C11BF"/>
    <w:rsid w:val="006D0104"/>
    <w:rsid w:val="006D0D43"/>
    <w:rsid w:val="006D166E"/>
    <w:rsid w:val="006D26D3"/>
    <w:rsid w:val="006D3317"/>
    <w:rsid w:val="006D3D02"/>
    <w:rsid w:val="006D50E4"/>
    <w:rsid w:val="006E5E44"/>
    <w:rsid w:val="006F0813"/>
    <w:rsid w:val="006F418B"/>
    <w:rsid w:val="006F43DF"/>
    <w:rsid w:val="006F4B99"/>
    <w:rsid w:val="00703517"/>
    <w:rsid w:val="00711FA2"/>
    <w:rsid w:val="007121E5"/>
    <w:rsid w:val="00712577"/>
    <w:rsid w:val="007127F6"/>
    <w:rsid w:val="0071334A"/>
    <w:rsid w:val="00717FCE"/>
    <w:rsid w:val="00723811"/>
    <w:rsid w:val="00723D17"/>
    <w:rsid w:val="00727356"/>
    <w:rsid w:val="00732FC2"/>
    <w:rsid w:val="00734182"/>
    <w:rsid w:val="00734C6A"/>
    <w:rsid w:val="00736287"/>
    <w:rsid w:val="007372F3"/>
    <w:rsid w:val="007404AF"/>
    <w:rsid w:val="00740F6C"/>
    <w:rsid w:val="00744A56"/>
    <w:rsid w:val="00746032"/>
    <w:rsid w:val="007463A2"/>
    <w:rsid w:val="00747967"/>
    <w:rsid w:val="00753611"/>
    <w:rsid w:val="0075468F"/>
    <w:rsid w:val="00755798"/>
    <w:rsid w:val="007568F7"/>
    <w:rsid w:val="00760A0A"/>
    <w:rsid w:val="00762D12"/>
    <w:rsid w:val="007635C8"/>
    <w:rsid w:val="007655E2"/>
    <w:rsid w:val="00770F5E"/>
    <w:rsid w:val="00773AA7"/>
    <w:rsid w:val="00780EC5"/>
    <w:rsid w:val="00781447"/>
    <w:rsid w:val="007828A3"/>
    <w:rsid w:val="00785231"/>
    <w:rsid w:val="00785DFD"/>
    <w:rsid w:val="00790C56"/>
    <w:rsid w:val="00792B68"/>
    <w:rsid w:val="00794D78"/>
    <w:rsid w:val="007952D6"/>
    <w:rsid w:val="007A0FFE"/>
    <w:rsid w:val="007A31AE"/>
    <w:rsid w:val="007A6DC1"/>
    <w:rsid w:val="007B1C79"/>
    <w:rsid w:val="007B334D"/>
    <w:rsid w:val="007B5217"/>
    <w:rsid w:val="007C6C8B"/>
    <w:rsid w:val="007D0AE3"/>
    <w:rsid w:val="007D2609"/>
    <w:rsid w:val="007D4481"/>
    <w:rsid w:val="007D5930"/>
    <w:rsid w:val="007D59A7"/>
    <w:rsid w:val="007D6CE3"/>
    <w:rsid w:val="007D7BBD"/>
    <w:rsid w:val="007E52A3"/>
    <w:rsid w:val="007E5DB9"/>
    <w:rsid w:val="007F100B"/>
    <w:rsid w:val="007F2B63"/>
    <w:rsid w:val="007F7570"/>
    <w:rsid w:val="00800A0E"/>
    <w:rsid w:val="0080159F"/>
    <w:rsid w:val="00802930"/>
    <w:rsid w:val="00807712"/>
    <w:rsid w:val="00807AA5"/>
    <w:rsid w:val="008118DD"/>
    <w:rsid w:val="00813C43"/>
    <w:rsid w:val="00815EE4"/>
    <w:rsid w:val="008162BD"/>
    <w:rsid w:val="008175ED"/>
    <w:rsid w:val="00820D70"/>
    <w:rsid w:val="008263A5"/>
    <w:rsid w:val="00830F9D"/>
    <w:rsid w:val="00833FB1"/>
    <w:rsid w:val="0083477F"/>
    <w:rsid w:val="00834D42"/>
    <w:rsid w:val="00840759"/>
    <w:rsid w:val="00841419"/>
    <w:rsid w:val="00842F6D"/>
    <w:rsid w:val="00843B71"/>
    <w:rsid w:val="00844116"/>
    <w:rsid w:val="0084562C"/>
    <w:rsid w:val="00845E4D"/>
    <w:rsid w:val="008501A4"/>
    <w:rsid w:val="00856704"/>
    <w:rsid w:val="008615C7"/>
    <w:rsid w:val="00861B25"/>
    <w:rsid w:val="0086273C"/>
    <w:rsid w:val="00862A07"/>
    <w:rsid w:val="00862BF6"/>
    <w:rsid w:val="008641B4"/>
    <w:rsid w:val="00866BFA"/>
    <w:rsid w:val="00867F09"/>
    <w:rsid w:val="00871BA6"/>
    <w:rsid w:val="00872A58"/>
    <w:rsid w:val="00875062"/>
    <w:rsid w:val="00875146"/>
    <w:rsid w:val="00876934"/>
    <w:rsid w:val="00880E5C"/>
    <w:rsid w:val="008826D3"/>
    <w:rsid w:val="00882F74"/>
    <w:rsid w:val="00885B41"/>
    <w:rsid w:val="00885C87"/>
    <w:rsid w:val="00886FF0"/>
    <w:rsid w:val="00887086"/>
    <w:rsid w:val="008902E5"/>
    <w:rsid w:val="00890DB8"/>
    <w:rsid w:val="00892035"/>
    <w:rsid w:val="00892FE6"/>
    <w:rsid w:val="00893EA8"/>
    <w:rsid w:val="008941A9"/>
    <w:rsid w:val="008955B3"/>
    <w:rsid w:val="008967C3"/>
    <w:rsid w:val="00896AF2"/>
    <w:rsid w:val="008A2753"/>
    <w:rsid w:val="008A63F4"/>
    <w:rsid w:val="008A6778"/>
    <w:rsid w:val="008B0BF1"/>
    <w:rsid w:val="008B2531"/>
    <w:rsid w:val="008B3541"/>
    <w:rsid w:val="008B78A5"/>
    <w:rsid w:val="008C16F7"/>
    <w:rsid w:val="008C2C4E"/>
    <w:rsid w:val="008C40DB"/>
    <w:rsid w:val="008C57A9"/>
    <w:rsid w:val="008C6661"/>
    <w:rsid w:val="008C680D"/>
    <w:rsid w:val="008D61A0"/>
    <w:rsid w:val="008D663F"/>
    <w:rsid w:val="008D6DEE"/>
    <w:rsid w:val="008D7BE5"/>
    <w:rsid w:val="008E49FA"/>
    <w:rsid w:val="008E63FE"/>
    <w:rsid w:val="008E7BA3"/>
    <w:rsid w:val="008F66FE"/>
    <w:rsid w:val="008F6824"/>
    <w:rsid w:val="008F6F1D"/>
    <w:rsid w:val="008F7669"/>
    <w:rsid w:val="009010A7"/>
    <w:rsid w:val="0090564B"/>
    <w:rsid w:val="009069AE"/>
    <w:rsid w:val="009143FF"/>
    <w:rsid w:val="00915A69"/>
    <w:rsid w:val="00916707"/>
    <w:rsid w:val="00916BEA"/>
    <w:rsid w:val="009172FC"/>
    <w:rsid w:val="009210A4"/>
    <w:rsid w:val="00927259"/>
    <w:rsid w:val="00931CFE"/>
    <w:rsid w:val="00932E7E"/>
    <w:rsid w:val="00935AED"/>
    <w:rsid w:val="00937891"/>
    <w:rsid w:val="009414B2"/>
    <w:rsid w:val="0094173A"/>
    <w:rsid w:val="009450CE"/>
    <w:rsid w:val="00947BEB"/>
    <w:rsid w:val="00954E6D"/>
    <w:rsid w:val="00955E43"/>
    <w:rsid w:val="00963CC6"/>
    <w:rsid w:val="00965249"/>
    <w:rsid w:val="00965365"/>
    <w:rsid w:val="009657CA"/>
    <w:rsid w:val="00966A17"/>
    <w:rsid w:val="009726E0"/>
    <w:rsid w:val="00972F0C"/>
    <w:rsid w:val="00973635"/>
    <w:rsid w:val="0098071D"/>
    <w:rsid w:val="00986234"/>
    <w:rsid w:val="00987A82"/>
    <w:rsid w:val="00987E86"/>
    <w:rsid w:val="00991152"/>
    <w:rsid w:val="00991DE6"/>
    <w:rsid w:val="00991E8D"/>
    <w:rsid w:val="00992C22"/>
    <w:rsid w:val="009944F2"/>
    <w:rsid w:val="009A0A5C"/>
    <w:rsid w:val="009A29F7"/>
    <w:rsid w:val="009B058C"/>
    <w:rsid w:val="009B12C8"/>
    <w:rsid w:val="009B22D7"/>
    <w:rsid w:val="009B30EB"/>
    <w:rsid w:val="009B3821"/>
    <w:rsid w:val="009C11B6"/>
    <w:rsid w:val="009C2FED"/>
    <w:rsid w:val="009C342B"/>
    <w:rsid w:val="009C6680"/>
    <w:rsid w:val="009C71B8"/>
    <w:rsid w:val="009C7A49"/>
    <w:rsid w:val="009D3E87"/>
    <w:rsid w:val="009E2E2C"/>
    <w:rsid w:val="009E3EBB"/>
    <w:rsid w:val="009E45C2"/>
    <w:rsid w:val="009E7B7E"/>
    <w:rsid w:val="009F0594"/>
    <w:rsid w:val="009F12F3"/>
    <w:rsid w:val="009F228A"/>
    <w:rsid w:val="009F236A"/>
    <w:rsid w:val="009F2E71"/>
    <w:rsid w:val="009F5434"/>
    <w:rsid w:val="009F63B7"/>
    <w:rsid w:val="009F646C"/>
    <w:rsid w:val="00A05AD3"/>
    <w:rsid w:val="00A06133"/>
    <w:rsid w:val="00A06F1A"/>
    <w:rsid w:val="00A17DC4"/>
    <w:rsid w:val="00A2271A"/>
    <w:rsid w:val="00A267CC"/>
    <w:rsid w:val="00A311C5"/>
    <w:rsid w:val="00A33C85"/>
    <w:rsid w:val="00A3416E"/>
    <w:rsid w:val="00A346FA"/>
    <w:rsid w:val="00A34F10"/>
    <w:rsid w:val="00A374B3"/>
    <w:rsid w:val="00A37A74"/>
    <w:rsid w:val="00A4091E"/>
    <w:rsid w:val="00A40C2B"/>
    <w:rsid w:val="00A41AD3"/>
    <w:rsid w:val="00A50A38"/>
    <w:rsid w:val="00A512FF"/>
    <w:rsid w:val="00A53BD7"/>
    <w:rsid w:val="00A53D74"/>
    <w:rsid w:val="00A55770"/>
    <w:rsid w:val="00A5579F"/>
    <w:rsid w:val="00A572BB"/>
    <w:rsid w:val="00A60A87"/>
    <w:rsid w:val="00A62924"/>
    <w:rsid w:val="00A67531"/>
    <w:rsid w:val="00A7073F"/>
    <w:rsid w:val="00A72728"/>
    <w:rsid w:val="00A731CC"/>
    <w:rsid w:val="00A75872"/>
    <w:rsid w:val="00A76B7F"/>
    <w:rsid w:val="00A7775E"/>
    <w:rsid w:val="00A83756"/>
    <w:rsid w:val="00A91384"/>
    <w:rsid w:val="00A91A5F"/>
    <w:rsid w:val="00A92F81"/>
    <w:rsid w:val="00A93C0A"/>
    <w:rsid w:val="00A958B8"/>
    <w:rsid w:val="00AB14F8"/>
    <w:rsid w:val="00AB2725"/>
    <w:rsid w:val="00AB34E8"/>
    <w:rsid w:val="00AB376B"/>
    <w:rsid w:val="00AB5230"/>
    <w:rsid w:val="00AC0796"/>
    <w:rsid w:val="00AC0D9B"/>
    <w:rsid w:val="00AC1081"/>
    <w:rsid w:val="00AC13D1"/>
    <w:rsid w:val="00AC184E"/>
    <w:rsid w:val="00AC28C5"/>
    <w:rsid w:val="00AC47EC"/>
    <w:rsid w:val="00AC55B0"/>
    <w:rsid w:val="00AC7207"/>
    <w:rsid w:val="00AD266A"/>
    <w:rsid w:val="00AD28C4"/>
    <w:rsid w:val="00AD405C"/>
    <w:rsid w:val="00AD4443"/>
    <w:rsid w:val="00AD56C8"/>
    <w:rsid w:val="00AD62E1"/>
    <w:rsid w:val="00AD657A"/>
    <w:rsid w:val="00AD755B"/>
    <w:rsid w:val="00AE1022"/>
    <w:rsid w:val="00AE14BD"/>
    <w:rsid w:val="00AE2921"/>
    <w:rsid w:val="00AE3C79"/>
    <w:rsid w:val="00AE5083"/>
    <w:rsid w:val="00AE7DBB"/>
    <w:rsid w:val="00AE7F2A"/>
    <w:rsid w:val="00B010A8"/>
    <w:rsid w:val="00B015A6"/>
    <w:rsid w:val="00B0254F"/>
    <w:rsid w:val="00B03A00"/>
    <w:rsid w:val="00B04C36"/>
    <w:rsid w:val="00B07C26"/>
    <w:rsid w:val="00B10F91"/>
    <w:rsid w:val="00B111D3"/>
    <w:rsid w:val="00B116C3"/>
    <w:rsid w:val="00B11E23"/>
    <w:rsid w:val="00B11F12"/>
    <w:rsid w:val="00B13B65"/>
    <w:rsid w:val="00B170E2"/>
    <w:rsid w:val="00B22C2E"/>
    <w:rsid w:val="00B25FDF"/>
    <w:rsid w:val="00B33AC9"/>
    <w:rsid w:val="00B34DB3"/>
    <w:rsid w:val="00B36B7A"/>
    <w:rsid w:val="00B40E48"/>
    <w:rsid w:val="00B41B9C"/>
    <w:rsid w:val="00B44E1D"/>
    <w:rsid w:val="00B45F38"/>
    <w:rsid w:val="00B46C36"/>
    <w:rsid w:val="00B51025"/>
    <w:rsid w:val="00B52746"/>
    <w:rsid w:val="00B60899"/>
    <w:rsid w:val="00B63054"/>
    <w:rsid w:val="00B64B89"/>
    <w:rsid w:val="00B65504"/>
    <w:rsid w:val="00B701F1"/>
    <w:rsid w:val="00B7214D"/>
    <w:rsid w:val="00B72F25"/>
    <w:rsid w:val="00B73994"/>
    <w:rsid w:val="00B7426D"/>
    <w:rsid w:val="00B747C9"/>
    <w:rsid w:val="00B74822"/>
    <w:rsid w:val="00B771DA"/>
    <w:rsid w:val="00B77AD5"/>
    <w:rsid w:val="00B80143"/>
    <w:rsid w:val="00B81C28"/>
    <w:rsid w:val="00B82C4B"/>
    <w:rsid w:val="00B83576"/>
    <w:rsid w:val="00B84162"/>
    <w:rsid w:val="00B8422B"/>
    <w:rsid w:val="00B866DF"/>
    <w:rsid w:val="00B87DC7"/>
    <w:rsid w:val="00B900D2"/>
    <w:rsid w:val="00B90728"/>
    <w:rsid w:val="00B92FE6"/>
    <w:rsid w:val="00BA4715"/>
    <w:rsid w:val="00BA4943"/>
    <w:rsid w:val="00BB31E6"/>
    <w:rsid w:val="00BB3DF5"/>
    <w:rsid w:val="00BB4636"/>
    <w:rsid w:val="00BB55CF"/>
    <w:rsid w:val="00BB5E1F"/>
    <w:rsid w:val="00BC1A88"/>
    <w:rsid w:val="00BC4C93"/>
    <w:rsid w:val="00BC5F25"/>
    <w:rsid w:val="00BC634E"/>
    <w:rsid w:val="00BC75EE"/>
    <w:rsid w:val="00BD0839"/>
    <w:rsid w:val="00BD2B29"/>
    <w:rsid w:val="00BD428C"/>
    <w:rsid w:val="00BD60E9"/>
    <w:rsid w:val="00BD66F9"/>
    <w:rsid w:val="00BD7B18"/>
    <w:rsid w:val="00BD7C54"/>
    <w:rsid w:val="00BD7CAB"/>
    <w:rsid w:val="00BE1179"/>
    <w:rsid w:val="00BE30CB"/>
    <w:rsid w:val="00BE726E"/>
    <w:rsid w:val="00BF05E4"/>
    <w:rsid w:val="00BF0823"/>
    <w:rsid w:val="00BF1511"/>
    <w:rsid w:val="00BF1E62"/>
    <w:rsid w:val="00BF2724"/>
    <w:rsid w:val="00C044FF"/>
    <w:rsid w:val="00C07698"/>
    <w:rsid w:val="00C11E7C"/>
    <w:rsid w:val="00C1603A"/>
    <w:rsid w:val="00C16D35"/>
    <w:rsid w:val="00C174DF"/>
    <w:rsid w:val="00C175F6"/>
    <w:rsid w:val="00C20EEB"/>
    <w:rsid w:val="00C25BF7"/>
    <w:rsid w:val="00C26A9C"/>
    <w:rsid w:val="00C32C9B"/>
    <w:rsid w:val="00C34F14"/>
    <w:rsid w:val="00C352F5"/>
    <w:rsid w:val="00C3577F"/>
    <w:rsid w:val="00C360B7"/>
    <w:rsid w:val="00C41BC0"/>
    <w:rsid w:val="00C436EF"/>
    <w:rsid w:val="00C47BFD"/>
    <w:rsid w:val="00C503D9"/>
    <w:rsid w:val="00C52B81"/>
    <w:rsid w:val="00C543AB"/>
    <w:rsid w:val="00C54C7B"/>
    <w:rsid w:val="00C57D25"/>
    <w:rsid w:val="00C600C1"/>
    <w:rsid w:val="00C60A5B"/>
    <w:rsid w:val="00C60A87"/>
    <w:rsid w:val="00C60E67"/>
    <w:rsid w:val="00C64E82"/>
    <w:rsid w:val="00C663B8"/>
    <w:rsid w:val="00C741B0"/>
    <w:rsid w:val="00C7624B"/>
    <w:rsid w:val="00C76F6B"/>
    <w:rsid w:val="00C80FDC"/>
    <w:rsid w:val="00C826FF"/>
    <w:rsid w:val="00C842BD"/>
    <w:rsid w:val="00C86319"/>
    <w:rsid w:val="00C876D0"/>
    <w:rsid w:val="00C87BB7"/>
    <w:rsid w:val="00C87C39"/>
    <w:rsid w:val="00C93496"/>
    <w:rsid w:val="00C94394"/>
    <w:rsid w:val="00C94CCC"/>
    <w:rsid w:val="00C97A93"/>
    <w:rsid w:val="00CA043C"/>
    <w:rsid w:val="00CA044F"/>
    <w:rsid w:val="00CA1062"/>
    <w:rsid w:val="00CA1868"/>
    <w:rsid w:val="00CA262F"/>
    <w:rsid w:val="00CA3854"/>
    <w:rsid w:val="00CA52E8"/>
    <w:rsid w:val="00CB1B9C"/>
    <w:rsid w:val="00CB42AA"/>
    <w:rsid w:val="00CB4307"/>
    <w:rsid w:val="00CB58F1"/>
    <w:rsid w:val="00CB5C45"/>
    <w:rsid w:val="00CB5C95"/>
    <w:rsid w:val="00CB6CF4"/>
    <w:rsid w:val="00CC4825"/>
    <w:rsid w:val="00CD06A1"/>
    <w:rsid w:val="00CD27EC"/>
    <w:rsid w:val="00CD4AF7"/>
    <w:rsid w:val="00CD4D12"/>
    <w:rsid w:val="00CD6230"/>
    <w:rsid w:val="00CD79C7"/>
    <w:rsid w:val="00CE1E1D"/>
    <w:rsid w:val="00CE2C86"/>
    <w:rsid w:val="00CE51F9"/>
    <w:rsid w:val="00CF037B"/>
    <w:rsid w:val="00CF2B35"/>
    <w:rsid w:val="00CF370E"/>
    <w:rsid w:val="00CF3715"/>
    <w:rsid w:val="00D000EE"/>
    <w:rsid w:val="00D00625"/>
    <w:rsid w:val="00D0154F"/>
    <w:rsid w:val="00D05AC6"/>
    <w:rsid w:val="00D15476"/>
    <w:rsid w:val="00D163AC"/>
    <w:rsid w:val="00D16E37"/>
    <w:rsid w:val="00D172D8"/>
    <w:rsid w:val="00D2188B"/>
    <w:rsid w:val="00D24231"/>
    <w:rsid w:val="00D24381"/>
    <w:rsid w:val="00D245FB"/>
    <w:rsid w:val="00D248B6"/>
    <w:rsid w:val="00D25EB8"/>
    <w:rsid w:val="00D31847"/>
    <w:rsid w:val="00D31B65"/>
    <w:rsid w:val="00D31F8A"/>
    <w:rsid w:val="00D33012"/>
    <w:rsid w:val="00D333E9"/>
    <w:rsid w:val="00D33D85"/>
    <w:rsid w:val="00D346A8"/>
    <w:rsid w:val="00D3571C"/>
    <w:rsid w:val="00D379DC"/>
    <w:rsid w:val="00D413DB"/>
    <w:rsid w:val="00D46DCE"/>
    <w:rsid w:val="00D50B9E"/>
    <w:rsid w:val="00D50CB8"/>
    <w:rsid w:val="00D51164"/>
    <w:rsid w:val="00D53185"/>
    <w:rsid w:val="00D539CE"/>
    <w:rsid w:val="00D53D6D"/>
    <w:rsid w:val="00D542FE"/>
    <w:rsid w:val="00D60FC3"/>
    <w:rsid w:val="00D62ED4"/>
    <w:rsid w:val="00D63D4B"/>
    <w:rsid w:val="00D67E1C"/>
    <w:rsid w:val="00D71430"/>
    <w:rsid w:val="00D71538"/>
    <w:rsid w:val="00D71D6F"/>
    <w:rsid w:val="00D72278"/>
    <w:rsid w:val="00D756C3"/>
    <w:rsid w:val="00D760DD"/>
    <w:rsid w:val="00D77CFA"/>
    <w:rsid w:val="00D82A67"/>
    <w:rsid w:val="00D84258"/>
    <w:rsid w:val="00D8515B"/>
    <w:rsid w:val="00D9015D"/>
    <w:rsid w:val="00D930D8"/>
    <w:rsid w:val="00D952C5"/>
    <w:rsid w:val="00D967A3"/>
    <w:rsid w:val="00D97B60"/>
    <w:rsid w:val="00DA138E"/>
    <w:rsid w:val="00DA190F"/>
    <w:rsid w:val="00DA2674"/>
    <w:rsid w:val="00DA268B"/>
    <w:rsid w:val="00DA2A46"/>
    <w:rsid w:val="00DB0EA5"/>
    <w:rsid w:val="00DB4E58"/>
    <w:rsid w:val="00DB5FD3"/>
    <w:rsid w:val="00DB6F66"/>
    <w:rsid w:val="00DC1A15"/>
    <w:rsid w:val="00DC2C94"/>
    <w:rsid w:val="00DC3AC1"/>
    <w:rsid w:val="00DC3CF8"/>
    <w:rsid w:val="00DC5F56"/>
    <w:rsid w:val="00DC6126"/>
    <w:rsid w:val="00DC6883"/>
    <w:rsid w:val="00DC759D"/>
    <w:rsid w:val="00DD0382"/>
    <w:rsid w:val="00DD368C"/>
    <w:rsid w:val="00DD4330"/>
    <w:rsid w:val="00DD52FF"/>
    <w:rsid w:val="00DD53E3"/>
    <w:rsid w:val="00DD5634"/>
    <w:rsid w:val="00DE0A46"/>
    <w:rsid w:val="00DE10C1"/>
    <w:rsid w:val="00DE4B1C"/>
    <w:rsid w:val="00DE4CFB"/>
    <w:rsid w:val="00DE58C0"/>
    <w:rsid w:val="00DE7667"/>
    <w:rsid w:val="00DF1214"/>
    <w:rsid w:val="00DF1FDB"/>
    <w:rsid w:val="00DF42BF"/>
    <w:rsid w:val="00DF4532"/>
    <w:rsid w:val="00DF4548"/>
    <w:rsid w:val="00DF4D94"/>
    <w:rsid w:val="00DF6393"/>
    <w:rsid w:val="00DF6722"/>
    <w:rsid w:val="00DF67F9"/>
    <w:rsid w:val="00E015BE"/>
    <w:rsid w:val="00E02D86"/>
    <w:rsid w:val="00E0627B"/>
    <w:rsid w:val="00E06A79"/>
    <w:rsid w:val="00E07770"/>
    <w:rsid w:val="00E11047"/>
    <w:rsid w:val="00E114A1"/>
    <w:rsid w:val="00E1175C"/>
    <w:rsid w:val="00E131F9"/>
    <w:rsid w:val="00E159AE"/>
    <w:rsid w:val="00E16680"/>
    <w:rsid w:val="00E16ABF"/>
    <w:rsid w:val="00E170D8"/>
    <w:rsid w:val="00E17A22"/>
    <w:rsid w:val="00E211FA"/>
    <w:rsid w:val="00E23748"/>
    <w:rsid w:val="00E24D8A"/>
    <w:rsid w:val="00E26B00"/>
    <w:rsid w:val="00E27746"/>
    <w:rsid w:val="00E27CC5"/>
    <w:rsid w:val="00E30A7F"/>
    <w:rsid w:val="00E349C2"/>
    <w:rsid w:val="00E34C54"/>
    <w:rsid w:val="00E3791A"/>
    <w:rsid w:val="00E37974"/>
    <w:rsid w:val="00E41304"/>
    <w:rsid w:val="00E41633"/>
    <w:rsid w:val="00E41E97"/>
    <w:rsid w:val="00E45347"/>
    <w:rsid w:val="00E470F2"/>
    <w:rsid w:val="00E52A93"/>
    <w:rsid w:val="00E535DC"/>
    <w:rsid w:val="00E5495D"/>
    <w:rsid w:val="00E54D85"/>
    <w:rsid w:val="00E60275"/>
    <w:rsid w:val="00E60F1F"/>
    <w:rsid w:val="00E63CBA"/>
    <w:rsid w:val="00E723CF"/>
    <w:rsid w:val="00E72691"/>
    <w:rsid w:val="00E73C08"/>
    <w:rsid w:val="00E7489F"/>
    <w:rsid w:val="00E75AE0"/>
    <w:rsid w:val="00E8665C"/>
    <w:rsid w:val="00E86671"/>
    <w:rsid w:val="00E91AD2"/>
    <w:rsid w:val="00E9311A"/>
    <w:rsid w:val="00E950A0"/>
    <w:rsid w:val="00E95334"/>
    <w:rsid w:val="00EA2680"/>
    <w:rsid w:val="00EA4498"/>
    <w:rsid w:val="00EA6FC1"/>
    <w:rsid w:val="00EB256C"/>
    <w:rsid w:val="00EB2875"/>
    <w:rsid w:val="00EB43A3"/>
    <w:rsid w:val="00EB5E29"/>
    <w:rsid w:val="00EB678D"/>
    <w:rsid w:val="00EB6DBE"/>
    <w:rsid w:val="00EC0C6C"/>
    <w:rsid w:val="00EC255D"/>
    <w:rsid w:val="00EC4356"/>
    <w:rsid w:val="00EC555F"/>
    <w:rsid w:val="00EC59AF"/>
    <w:rsid w:val="00EC62A8"/>
    <w:rsid w:val="00EC6C5C"/>
    <w:rsid w:val="00EC7030"/>
    <w:rsid w:val="00ED16D9"/>
    <w:rsid w:val="00ED3E7F"/>
    <w:rsid w:val="00ED3F8D"/>
    <w:rsid w:val="00ED556B"/>
    <w:rsid w:val="00ED7D78"/>
    <w:rsid w:val="00EE480A"/>
    <w:rsid w:val="00EE59AB"/>
    <w:rsid w:val="00EE70EC"/>
    <w:rsid w:val="00EF0769"/>
    <w:rsid w:val="00EF3584"/>
    <w:rsid w:val="00EF5D58"/>
    <w:rsid w:val="00EF7580"/>
    <w:rsid w:val="00F00C34"/>
    <w:rsid w:val="00F00E4A"/>
    <w:rsid w:val="00F034E9"/>
    <w:rsid w:val="00F03B88"/>
    <w:rsid w:val="00F04CB6"/>
    <w:rsid w:val="00F0622C"/>
    <w:rsid w:val="00F0774B"/>
    <w:rsid w:val="00F1080F"/>
    <w:rsid w:val="00F10C07"/>
    <w:rsid w:val="00F110A8"/>
    <w:rsid w:val="00F17350"/>
    <w:rsid w:val="00F17F9C"/>
    <w:rsid w:val="00F21A5B"/>
    <w:rsid w:val="00F22B93"/>
    <w:rsid w:val="00F23D12"/>
    <w:rsid w:val="00F23F08"/>
    <w:rsid w:val="00F30FAA"/>
    <w:rsid w:val="00F34715"/>
    <w:rsid w:val="00F34A18"/>
    <w:rsid w:val="00F37DA9"/>
    <w:rsid w:val="00F416DA"/>
    <w:rsid w:val="00F419AB"/>
    <w:rsid w:val="00F45F62"/>
    <w:rsid w:val="00F5257E"/>
    <w:rsid w:val="00F5675D"/>
    <w:rsid w:val="00F63824"/>
    <w:rsid w:val="00F6434C"/>
    <w:rsid w:val="00F65A9C"/>
    <w:rsid w:val="00F65B54"/>
    <w:rsid w:val="00F65D81"/>
    <w:rsid w:val="00F6654C"/>
    <w:rsid w:val="00F713C6"/>
    <w:rsid w:val="00F72A9F"/>
    <w:rsid w:val="00F7711F"/>
    <w:rsid w:val="00F81FD6"/>
    <w:rsid w:val="00F8365C"/>
    <w:rsid w:val="00F8747D"/>
    <w:rsid w:val="00F877C2"/>
    <w:rsid w:val="00F96CD3"/>
    <w:rsid w:val="00FA300D"/>
    <w:rsid w:val="00FA4BC8"/>
    <w:rsid w:val="00FA534F"/>
    <w:rsid w:val="00FA75E2"/>
    <w:rsid w:val="00FB28FC"/>
    <w:rsid w:val="00FB387E"/>
    <w:rsid w:val="00FB5BCF"/>
    <w:rsid w:val="00FB69A6"/>
    <w:rsid w:val="00FB74EF"/>
    <w:rsid w:val="00FC336D"/>
    <w:rsid w:val="00FC3523"/>
    <w:rsid w:val="00FC40B0"/>
    <w:rsid w:val="00FC6502"/>
    <w:rsid w:val="00FC7EE9"/>
    <w:rsid w:val="00FD108F"/>
    <w:rsid w:val="00FD1ABE"/>
    <w:rsid w:val="00FD252E"/>
    <w:rsid w:val="00FD26E6"/>
    <w:rsid w:val="00FD2FC4"/>
    <w:rsid w:val="00FD432D"/>
    <w:rsid w:val="00FD482B"/>
    <w:rsid w:val="00FE0124"/>
    <w:rsid w:val="00FE3CC4"/>
    <w:rsid w:val="00FF05D4"/>
    <w:rsid w:val="00FF13FE"/>
    <w:rsid w:val="00FF2102"/>
    <w:rsid w:val="00FF5373"/>
    <w:rsid w:val="00FF68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9C260"/>
  <w15:chartTrackingRefBased/>
  <w15:docId w15:val="{D6A306F7-E886-4B34-AFDE-B32C3257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81"/>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21A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66B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93496"/>
    <w:pPr>
      <w:keepNext/>
      <w:keepLines/>
      <w:spacing w:before="40" w:after="0" w:line="259" w:lineRule="auto"/>
      <w:ind w:left="720" w:hanging="720"/>
      <w:outlineLvl w:val="2"/>
    </w:pPr>
    <w:rPr>
      <w:rFonts w:asciiTheme="majorHAnsi" w:eastAsiaTheme="majorEastAsia" w:hAnsiTheme="majorHAnsi" w:cstheme="majorBidi"/>
      <w:color w:val="1F4D78" w:themeColor="accent1" w:themeShade="7F"/>
      <w:sz w:val="24"/>
      <w:szCs w:val="24"/>
      <w:lang w:val="fr-CH"/>
    </w:rPr>
  </w:style>
  <w:style w:type="paragraph" w:styleId="Heading4">
    <w:name w:val="heading 4"/>
    <w:basedOn w:val="Normal"/>
    <w:next w:val="Normal"/>
    <w:link w:val="Heading4Char"/>
    <w:uiPriority w:val="9"/>
    <w:semiHidden/>
    <w:unhideWhenUsed/>
    <w:qFormat/>
    <w:rsid w:val="00C93496"/>
    <w:pPr>
      <w:keepNext/>
      <w:keepLines/>
      <w:spacing w:before="40" w:after="0" w:line="259" w:lineRule="auto"/>
      <w:ind w:left="864" w:hanging="864"/>
      <w:outlineLvl w:val="3"/>
    </w:pPr>
    <w:rPr>
      <w:rFonts w:asciiTheme="majorHAnsi" w:eastAsiaTheme="majorEastAsia" w:hAnsiTheme="majorHAnsi" w:cstheme="majorBidi"/>
      <w:i/>
      <w:iCs/>
      <w:color w:val="2E74B5" w:themeColor="accent1" w:themeShade="BF"/>
      <w:sz w:val="24"/>
      <w:lang w:val="fr-CH"/>
    </w:rPr>
  </w:style>
  <w:style w:type="paragraph" w:styleId="Heading5">
    <w:name w:val="heading 5"/>
    <w:basedOn w:val="Normal"/>
    <w:next w:val="Normal"/>
    <w:link w:val="Heading5Char"/>
    <w:uiPriority w:val="9"/>
    <w:semiHidden/>
    <w:unhideWhenUsed/>
    <w:qFormat/>
    <w:rsid w:val="00C93496"/>
    <w:pPr>
      <w:keepNext/>
      <w:keepLines/>
      <w:spacing w:before="40" w:after="0" w:line="259" w:lineRule="auto"/>
      <w:ind w:left="1008" w:hanging="1008"/>
      <w:outlineLvl w:val="4"/>
    </w:pPr>
    <w:rPr>
      <w:rFonts w:asciiTheme="majorHAnsi" w:eastAsiaTheme="majorEastAsia" w:hAnsiTheme="majorHAnsi" w:cstheme="majorBidi"/>
      <w:color w:val="2E74B5" w:themeColor="accent1" w:themeShade="BF"/>
      <w:sz w:val="24"/>
      <w:lang w:val="fr-CH"/>
    </w:rPr>
  </w:style>
  <w:style w:type="paragraph" w:styleId="Heading6">
    <w:name w:val="heading 6"/>
    <w:basedOn w:val="Normal"/>
    <w:next w:val="Normal"/>
    <w:link w:val="Heading6Char"/>
    <w:uiPriority w:val="9"/>
    <w:semiHidden/>
    <w:unhideWhenUsed/>
    <w:qFormat/>
    <w:rsid w:val="00C93496"/>
    <w:pPr>
      <w:keepNext/>
      <w:keepLines/>
      <w:spacing w:before="40" w:after="0" w:line="259" w:lineRule="auto"/>
      <w:ind w:left="1152" w:hanging="1152"/>
      <w:outlineLvl w:val="5"/>
    </w:pPr>
    <w:rPr>
      <w:rFonts w:asciiTheme="majorHAnsi" w:eastAsiaTheme="majorEastAsia" w:hAnsiTheme="majorHAnsi" w:cstheme="majorBidi"/>
      <w:color w:val="1F4D78" w:themeColor="accent1" w:themeShade="7F"/>
      <w:sz w:val="24"/>
      <w:lang w:val="fr-CH"/>
    </w:rPr>
  </w:style>
  <w:style w:type="paragraph" w:styleId="Heading7">
    <w:name w:val="heading 7"/>
    <w:basedOn w:val="Normal"/>
    <w:next w:val="Normal"/>
    <w:link w:val="Heading7Char"/>
    <w:uiPriority w:val="9"/>
    <w:semiHidden/>
    <w:unhideWhenUsed/>
    <w:qFormat/>
    <w:rsid w:val="00C93496"/>
    <w:pPr>
      <w:keepNext/>
      <w:keepLines/>
      <w:spacing w:before="40" w:after="0" w:line="259" w:lineRule="auto"/>
      <w:ind w:left="1296" w:hanging="1296"/>
      <w:outlineLvl w:val="6"/>
    </w:pPr>
    <w:rPr>
      <w:rFonts w:asciiTheme="majorHAnsi" w:eastAsiaTheme="majorEastAsia" w:hAnsiTheme="majorHAnsi" w:cstheme="majorBidi"/>
      <w:i/>
      <w:iCs/>
      <w:color w:val="1F4D78" w:themeColor="accent1" w:themeShade="7F"/>
      <w:sz w:val="24"/>
      <w:lang w:val="fr-CH"/>
    </w:rPr>
  </w:style>
  <w:style w:type="paragraph" w:styleId="Heading8">
    <w:name w:val="heading 8"/>
    <w:basedOn w:val="Normal"/>
    <w:next w:val="Normal"/>
    <w:link w:val="Heading8Char"/>
    <w:uiPriority w:val="9"/>
    <w:semiHidden/>
    <w:unhideWhenUsed/>
    <w:qFormat/>
    <w:rsid w:val="00C93496"/>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lang w:val="fr-CH"/>
    </w:rPr>
  </w:style>
  <w:style w:type="paragraph" w:styleId="Heading9">
    <w:name w:val="heading 9"/>
    <w:basedOn w:val="Normal"/>
    <w:next w:val="Normal"/>
    <w:link w:val="Heading9Char"/>
    <w:uiPriority w:val="9"/>
    <w:semiHidden/>
    <w:unhideWhenUsed/>
    <w:qFormat/>
    <w:rsid w:val="00C93496"/>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E6"/>
    <w:rPr>
      <w:rFonts w:ascii="Calibri" w:eastAsia="Calibri" w:hAnsi="Calibri" w:cs="Times New Roman"/>
    </w:rPr>
  </w:style>
  <w:style w:type="paragraph" w:styleId="Footer">
    <w:name w:val="footer"/>
    <w:basedOn w:val="Normal"/>
    <w:link w:val="FooterChar"/>
    <w:uiPriority w:val="99"/>
    <w:unhideWhenUsed/>
    <w:rsid w:val="00B92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E6"/>
    <w:rPr>
      <w:rFonts w:ascii="Calibri" w:eastAsia="Calibri" w:hAnsi="Calibri" w:cs="Times New Roman"/>
    </w:rPr>
  </w:style>
  <w:style w:type="paragraph" w:styleId="ListParagraph">
    <w:name w:val="List Paragraph"/>
    <w:aliases w:val="Normal 2,List Paragraph (numbered (a)),Citation List,Resume Title,Heading 41,Dot pt,No Spacing1,List Paragraph Char Char Char,Indicator Text,List Paragraph1,Numbered Para 1,List Paragraph12,Bullet Points,MAIN CONTENT,Bullet 1,texte,Bullet"/>
    <w:basedOn w:val="Normal"/>
    <w:link w:val="ListParagraphChar"/>
    <w:uiPriority w:val="34"/>
    <w:qFormat/>
    <w:rsid w:val="00B92FE6"/>
    <w:pPr>
      <w:spacing w:after="0" w:line="240" w:lineRule="auto"/>
      <w:ind w:left="720"/>
      <w:contextualSpacing/>
    </w:pPr>
    <w:rPr>
      <w:rFonts w:ascii="Times New Roman" w:eastAsia="SimSun" w:hAnsi="Times New Roman"/>
      <w:sz w:val="24"/>
      <w:szCs w:val="24"/>
      <w:lang w:val="en-GB" w:eastAsia="zh-CN"/>
    </w:rPr>
  </w:style>
  <w:style w:type="character" w:styleId="Hyperlink">
    <w:name w:val="Hyperlink"/>
    <w:uiPriority w:val="99"/>
    <w:unhideWhenUsed/>
    <w:rsid w:val="00B92FE6"/>
    <w:rPr>
      <w:color w:val="0000FF"/>
      <w:u w:val="single"/>
    </w:rPr>
  </w:style>
  <w:style w:type="character" w:customStyle="1" w:styleId="ListParagraphChar">
    <w:name w:val="List Paragraph Char"/>
    <w:aliases w:val="Normal 2 Char,List Paragraph (numbered (a)) Char,Citation List Char,Resume Title Char,Heading 41 Char,Dot pt Char,No Spacing1 Char,List Paragraph Char Char Char Char,Indicator Text Char,List Paragraph1 Char,Numbered Para 1 Char"/>
    <w:link w:val="ListParagraph"/>
    <w:uiPriority w:val="34"/>
    <w:qFormat/>
    <w:locked/>
    <w:rsid w:val="00B92FE6"/>
    <w:rPr>
      <w:rFonts w:ascii="Times New Roman" w:eastAsia="SimSun" w:hAnsi="Times New Roman" w:cs="Times New Roman"/>
      <w:sz w:val="24"/>
      <w:szCs w:val="24"/>
      <w:lang w:val="en-GB" w:eastAsia="zh-CN"/>
    </w:rPr>
  </w:style>
  <w:style w:type="paragraph" w:styleId="NoSpacing">
    <w:name w:val="No Spacing"/>
    <w:uiPriority w:val="1"/>
    <w:qFormat/>
    <w:rsid w:val="00B92FE6"/>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B92F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2FE6"/>
    <w:rPr>
      <w:rFonts w:ascii="Calibri" w:eastAsia="Calibri" w:hAnsi="Calibri" w:cs="Times New Roman"/>
      <w:sz w:val="20"/>
      <w:szCs w:val="20"/>
    </w:rPr>
  </w:style>
  <w:style w:type="character" w:styleId="FootnoteReference">
    <w:name w:val="footnote reference"/>
    <w:uiPriority w:val="99"/>
    <w:semiHidden/>
    <w:unhideWhenUsed/>
    <w:rsid w:val="00B92FE6"/>
    <w:rPr>
      <w:vertAlign w:val="superscript"/>
    </w:rPr>
  </w:style>
  <w:style w:type="paragraph" w:styleId="CommentText">
    <w:name w:val="annotation text"/>
    <w:basedOn w:val="Normal"/>
    <w:link w:val="CommentTextChar"/>
    <w:uiPriority w:val="99"/>
    <w:unhideWhenUsed/>
    <w:rsid w:val="00B92FE6"/>
    <w:pPr>
      <w:spacing w:line="240" w:lineRule="auto"/>
    </w:pPr>
    <w:rPr>
      <w:sz w:val="20"/>
      <w:szCs w:val="20"/>
      <w:lang w:val="en-GB"/>
    </w:rPr>
  </w:style>
  <w:style w:type="character" w:customStyle="1" w:styleId="CommentTextChar">
    <w:name w:val="Comment Text Char"/>
    <w:basedOn w:val="DefaultParagraphFont"/>
    <w:link w:val="CommentText"/>
    <w:uiPriority w:val="99"/>
    <w:rsid w:val="00B92FE6"/>
    <w:rPr>
      <w:rFonts w:ascii="Calibri" w:eastAsia="Calibri" w:hAnsi="Calibri" w:cs="Times New Roman"/>
      <w:sz w:val="20"/>
      <w:szCs w:val="20"/>
      <w:lang w:val="en-GB"/>
    </w:rPr>
  </w:style>
  <w:style w:type="paragraph" w:styleId="NormalWeb">
    <w:name w:val="Normal (Web)"/>
    <w:basedOn w:val="Normal"/>
    <w:uiPriority w:val="99"/>
    <w:unhideWhenUsed/>
    <w:rsid w:val="00B92FE6"/>
    <w:pPr>
      <w:spacing w:before="100" w:beforeAutospacing="1" w:after="100" w:afterAutospacing="1" w:line="240" w:lineRule="auto"/>
    </w:pPr>
    <w:rPr>
      <w:rFonts w:ascii="Times New Roman" w:hAnsi="Times New Roman"/>
      <w:sz w:val="24"/>
      <w:szCs w:val="24"/>
      <w:lang w:val="sv-SE" w:eastAsia="sv-SE"/>
    </w:rPr>
  </w:style>
  <w:style w:type="paragraph" w:customStyle="1" w:styleId="Default">
    <w:name w:val="Default"/>
    <w:link w:val="LeiptekstiChar"/>
    <w:rsid w:val="00B92FE6"/>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normalchar1">
    <w:name w:val="normal__char1"/>
    <w:uiPriority w:val="99"/>
    <w:rsid w:val="00B92FE6"/>
    <w:rPr>
      <w:rFonts w:ascii="Calibri" w:hAnsi="Calibri" w:cs="Calibri"/>
      <w:sz w:val="22"/>
      <w:szCs w:val="22"/>
    </w:rPr>
  </w:style>
  <w:style w:type="character" w:customStyle="1" w:styleId="LeiptekstiChar">
    <w:name w:val="Leipäteksti Char"/>
    <w:link w:val="Default"/>
    <w:rsid w:val="00B92FE6"/>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F21A5B"/>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8615C7"/>
    <w:pPr>
      <w:widowControl w:val="0"/>
      <w:autoSpaceDE w:val="0"/>
      <w:autoSpaceDN w:val="0"/>
      <w:spacing w:after="0" w:line="240" w:lineRule="auto"/>
    </w:pPr>
    <w:rPr>
      <w:rFonts w:ascii="Trebuchet MS" w:eastAsia="Trebuchet MS" w:hAnsi="Trebuchet MS" w:cs="Trebuchet MS"/>
      <w:sz w:val="24"/>
      <w:szCs w:val="24"/>
      <w:lang w:bidi="en-US"/>
    </w:rPr>
  </w:style>
  <w:style w:type="character" w:customStyle="1" w:styleId="BodyTextChar">
    <w:name w:val="Body Text Char"/>
    <w:basedOn w:val="DefaultParagraphFont"/>
    <w:link w:val="BodyText"/>
    <w:uiPriority w:val="1"/>
    <w:qFormat/>
    <w:rsid w:val="008615C7"/>
    <w:rPr>
      <w:rFonts w:ascii="Trebuchet MS" w:eastAsia="Trebuchet MS" w:hAnsi="Trebuchet MS" w:cs="Trebuchet MS"/>
      <w:sz w:val="24"/>
      <w:szCs w:val="24"/>
      <w:lang w:bidi="en-US"/>
    </w:rPr>
  </w:style>
  <w:style w:type="character" w:customStyle="1" w:styleId="Heading2Char">
    <w:name w:val="Heading 2 Char"/>
    <w:basedOn w:val="DefaultParagraphFont"/>
    <w:link w:val="Heading2"/>
    <w:uiPriority w:val="9"/>
    <w:rsid w:val="00866BF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502E1D"/>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02E1D"/>
    <w:rPr>
      <w:rFonts w:ascii="Segoe UI" w:hAnsi="Segoe UI" w:cs="Segoe UI"/>
      <w:sz w:val="18"/>
      <w:szCs w:val="18"/>
    </w:rPr>
  </w:style>
  <w:style w:type="character" w:styleId="CommentReference">
    <w:name w:val="annotation reference"/>
    <w:basedOn w:val="DefaultParagraphFont"/>
    <w:uiPriority w:val="99"/>
    <w:semiHidden/>
    <w:unhideWhenUsed/>
    <w:rsid w:val="00BB4636"/>
    <w:rPr>
      <w:sz w:val="16"/>
      <w:szCs w:val="16"/>
    </w:rPr>
  </w:style>
  <w:style w:type="paragraph" w:styleId="CommentSubject">
    <w:name w:val="annotation subject"/>
    <w:basedOn w:val="CommentText"/>
    <w:next w:val="CommentText"/>
    <w:link w:val="CommentSubjectChar"/>
    <w:uiPriority w:val="99"/>
    <w:semiHidden/>
    <w:unhideWhenUsed/>
    <w:rsid w:val="00BB4636"/>
    <w:rPr>
      <w:b/>
      <w:bCs/>
      <w:lang w:val="en-US"/>
    </w:rPr>
  </w:style>
  <w:style w:type="character" w:customStyle="1" w:styleId="CommentSubjectChar">
    <w:name w:val="Comment Subject Char"/>
    <w:basedOn w:val="CommentTextChar"/>
    <w:link w:val="CommentSubject"/>
    <w:uiPriority w:val="99"/>
    <w:semiHidden/>
    <w:rsid w:val="00BB4636"/>
    <w:rPr>
      <w:rFonts w:ascii="Calibri" w:eastAsia="Calibri" w:hAnsi="Calibri" w:cs="Times New Roman"/>
      <w:b/>
      <w:bCs/>
      <w:sz w:val="20"/>
      <w:szCs w:val="20"/>
      <w:lang w:val="en-GB"/>
    </w:rPr>
  </w:style>
  <w:style w:type="character" w:customStyle="1" w:styleId="None">
    <w:name w:val="None"/>
    <w:rsid w:val="002A16AD"/>
  </w:style>
  <w:style w:type="table" w:styleId="TableGrid">
    <w:name w:val="Table Grid"/>
    <w:basedOn w:val="TableNormal"/>
    <w:uiPriority w:val="39"/>
    <w:rsid w:val="006A2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rsid w:val="00232291"/>
  </w:style>
  <w:style w:type="paragraph" w:styleId="Revision">
    <w:name w:val="Revision"/>
    <w:hidden/>
    <w:uiPriority w:val="99"/>
    <w:semiHidden/>
    <w:rsid w:val="000600E8"/>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9F236A"/>
    <w:rPr>
      <w:color w:val="605E5C"/>
      <w:shd w:val="clear" w:color="auto" w:fill="E1DFDD"/>
    </w:rPr>
  </w:style>
  <w:style w:type="paragraph" w:styleId="BodyTextIndent">
    <w:name w:val="Body Text Indent"/>
    <w:basedOn w:val="Normal"/>
    <w:link w:val="BodyTextIndentChar"/>
    <w:rsid w:val="0003424C"/>
    <w:pPr>
      <w:spacing w:after="120" w:line="240" w:lineRule="auto"/>
      <w:ind w:left="360"/>
    </w:pPr>
    <w:rPr>
      <w:rFonts w:ascii="Times New Roman" w:eastAsia="Times New Roman" w:hAnsi="Times New Roman"/>
      <w:sz w:val="24"/>
      <w:szCs w:val="24"/>
      <w:lang w:val="en-GB"/>
    </w:rPr>
  </w:style>
  <w:style w:type="character" w:customStyle="1" w:styleId="BodyTextIndentChar">
    <w:name w:val="Body Text Indent Char"/>
    <w:basedOn w:val="DefaultParagraphFont"/>
    <w:link w:val="BodyTextIndent"/>
    <w:rsid w:val="0003424C"/>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uiPriority w:val="9"/>
    <w:semiHidden/>
    <w:rsid w:val="00C93496"/>
    <w:rPr>
      <w:rFonts w:asciiTheme="majorHAnsi" w:eastAsiaTheme="majorEastAsia" w:hAnsiTheme="majorHAnsi" w:cstheme="majorBidi"/>
      <w:color w:val="1F4D78" w:themeColor="accent1" w:themeShade="7F"/>
      <w:sz w:val="24"/>
      <w:szCs w:val="24"/>
      <w:lang w:val="fr-CH"/>
    </w:rPr>
  </w:style>
  <w:style w:type="character" w:customStyle="1" w:styleId="Heading4Char">
    <w:name w:val="Heading 4 Char"/>
    <w:basedOn w:val="DefaultParagraphFont"/>
    <w:link w:val="Heading4"/>
    <w:uiPriority w:val="9"/>
    <w:semiHidden/>
    <w:rsid w:val="00C93496"/>
    <w:rPr>
      <w:rFonts w:asciiTheme="majorHAnsi" w:eastAsiaTheme="majorEastAsia" w:hAnsiTheme="majorHAnsi" w:cstheme="majorBidi"/>
      <w:i/>
      <w:iCs/>
      <w:color w:val="2E74B5" w:themeColor="accent1" w:themeShade="BF"/>
      <w:sz w:val="24"/>
      <w:lang w:val="fr-CH"/>
    </w:rPr>
  </w:style>
  <w:style w:type="character" w:customStyle="1" w:styleId="Heading5Char">
    <w:name w:val="Heading 5 Char"/>
    <w:basedOn w:val="DefaultParagraphFont"/>
    <w:link w:val="Heading5"/>
    <w:uiPriority w:val="9"/>
    <w:semiHidden/>
    <w:rsid w:val="00C93496"/>
    <w:rPr>
      <w:rFonts w:asciiTheme="majorHAnsi" w:eastAsiaTheme="majorEastAsia" w:hAnsiTheme="majorHAnsi" w:cstheme="majorBidi"/>
      <w:color w:val="2E74B5" w:themeColor="accent1" w:themeShade="BF"/>
      <w:sz w:val="24"/>
      <w:lang w:val="fr-CH"/>
    </w:rPr>
  </w:style>
  <w:style w:type="character" w:customStyle="1" w:styleId="Heading6Char">
    <w:name w:val="Heading 6 Char"/>
    <w:basedOn w:val="DefaultParagraphFont"/>
    <w:link w:val="Heading6"/>
    <w:uiPriority w:val="9"/>
    <w:semiHidden/>
    <w:rsid w:val="00C93496"/>
    <w:rPr>
      <w:rFonts w:asciiTheme="majorHAnsi" w:eastAsiaTheme="majorEastAsia" w:hAnsiTheme="majorHAnsi" w:cstheme="majorBidi"/>
      <w:color w:val="1F4D78" w:themeColor="accent1" w:themeShade="7F"/>
      <w:sz w:val="24"/>
      <w:lang w:val="fr-CH"/>
    </w:rPr>
  </w:style>
  <w:style w:type="character" w:customStyle="1" w:styleId="Heading7Char">
    <w:name w:val="Heading 7 Char"/>
    <w:basedOn w:val="DefaultParagraphFont"/>
    <w:link w:val="Heading7"/>
    <w:uiPriority w:val="9"/>
    <w:semiHidden/>
    <w:rsid w:val="00C93496"/>
    <w:rPr>
      <w:rFonts w:asciiTheme="majorHAnsi" w:eastAsiaTheme="majorEastAsia" w:hAnsiTheme="majorHAnsi" w:cstheme="majorBidi"/>
      <w:i/>
      <w:iCs/>
      <w:color w:val="1F4D78" w:themeColor="accent1" w:themeShade="7F"/>
      <w:sz w:val="24"/>
      <w:lang w:val="fr-CH"/>
    </w:rPr>
  </w:style>
  <w:style w:type="character" w:customStyle="1" w:styleId="Heading8Char">
    <w:name w:val="Heading 8 Char"/>
    <w:basedOn w:val="DefaultParagraphFont"/>
    <w:link w:val="Heading8"/>
    <w:uiPriority w:val="9"/>
    <w:semiHidden/>
    <w:rsid w:val="00C93496"/>
    <w:rPr>
      <w:rFonts w:asciiTheme="majorHAnsi" w:eastAsiaTheme="majorEastAsia" w:hAnsiTheme="majorHAnsi" w:cstheme="majorBidi"/>
      <w:color w:val="272727" w:themeColor="text1" w:themeTint="D8"/>
      <w:sz w:val="21"/>
      <w:szCs w:val="21"/>
      <w:lang w:val="fr-CH"/>
    </w:rPr>
  </w:style>
  <w:style w:type="character" w:customStyle="1" w:styleId="Heading9Char">
    <w:name w:val="Heading 9 Char"/>
    <w:basedOn w:val="DefaultParagraphFont"/>
    <w:link w:val="Heading9"/>
    <w:uiPriority w:val="9"/>
    <w:semiHidden/>
    <w:rsid w:val="00C93496"/>
    <w:rPr>
      <w:rFonts w:asciiTheme="majorHAnsi" w:eastAsiaTheme="majorEastAsia" w:hAnsiTheme="majorHAnsi" w:cstheme="majorBidi"/>
      <w:i/>
      <w:iCs/>
      <w:color w:val="272727" w:themeColor="text1" w:themeTint="D8"/>
      <w:sz w:val="21"/>
      <w:szCs w:val="21"/>
      <w:lang w:val="fr-CH"/>
    </w:rPr>
  </w:style>
  <w:style w:type="character" w:customStyle="1" w:styleId="normaltextrun">
    <w:name w:val="normaltextrun"/>
    <w:basedOn w:val="DefaultParagraphFont"/>
    <w:qFormat/>
    <w:rsid w:val="00FD1ABE"/>
  </w:style>
  <w:style w:type="paragraph" w:customStyle="1" w:styleId="whitespace-pre-wrap">
    <w:name w:val="whitespace-pre-wrap"/>
    <w:basedOn w:val="Normal"/>
    <w:rsid w:val="00163434"/>
    <w:pPr>
      <w:spacing w:before="100" w:beforeAutospacing="1" w:after="100" w:afterAutospacing="1" w:line="240" w:lineRule="auto"/>
    </w:pPr>
    <w:rPr>
      <w:rFonts w:ascii="Times New Roman" w:eastAsia="Times New Roman" w:hAnsi="Times New Roman"/>
      <w:sz w:val="24"/>
      <w:szCs w:val="24"/>
    </w:rPr>
  </w:style>
  <w:style w:type="paragraph" w:customStyle="1" w:styleId="whitespace-normal">
    <w:name w:val="whitespace-normal"/>
    <w:basedOn w:val="Normal"/>
    <w:rsid w:val="00163434"/>
    <w:pPr>
      <w:spacing w:before="100" w:beforeAutospacing="1" w:after="100" w:afterAutospacing="1" w:line="240" w:lineRule="auto"/>
    </w:pPr>
    <w:rPr>
      <w:rFonts w:ascii="Times New Roman" w:eastAsia="Times New Roman" w:hAnsi="Times New Roman"/>
      <w:sz w:val="24"/>
      <w:szCs w:val="24"/>
    </w:rPr>
  </w:style>
  <w:style w:type="table" w:customStyle="1" w:styleId="PlainTable21">
    <w:name w:val="Plain Table 21"/>
    <w:basedOn w:val="TableNormal"/>
    <w:uiPriority w:val="42"/>
    <w:qFormat/>
    <w:rsid w:val="00BD7C54"/>
    <w:pPr>
      <w:spacing w:after="0" w:line="240" w:lineRule="auto"/>
    </w:pPr>
    <w:rPr>
      <w:rFonts w:ascii="Times New Roman" w:eastAsia="SimSun" w:hAnsi="Times New Roman" w:cs="Times New Roman"/>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D53D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wacimagecontainer">
    <w:name w:val="wacimagecontainer"/>
    <w:basedOn w:val="DefaultParagraphFont"/>
    <w:qFormat/>
    <w:rsid w:val="00EA4498"/>
  </w:style>
  <w:style w:type="paragraph" w:customStyle="1" w:styleId="paragraph">
    <w:name w:val="paragraph"/>
    <w:basedOn w:val="Normal"/>
    <w:rsid w:val="00BD2B29"/>
    <w:pPr>
      <w:spacing w:before="100" w:beforeAutospacing="1" w:after="100" w:afterAutospacing="1" w:line="240" w:lineRule="auto"/>
    </w:pPr>
    <w:rPr>
      <w:rFonts w:ascii="Times New Roman" w:eastAsiaTheme="minorEastAsia" w:hAnsi="Times New Roman" w:cstheme="minorBidi"/>
      <w:sz w:val="24"/>
      <w:szCs w:val="24"/>
      <w:lang w:val="en-GB" w:eastAsia="en-GB"/>
    </w:rPr>
  </w:style>
  <w:style w:type="character" w:customStyle="1" w:styleId="eop">
    <w:name w:val="eop"/>
    <w:basedOn w:val="DefaultParagraphFont"/>
    <w:rsid w:val="00BD2B29"/>
  </w:style>
  <w:style w:type="character" w:customStyle="1" w:styleId="scxw63843710">
    <w:name w:val="scxw63843710"/>
    <w:basedOn w:val="DefaultParagraphFont"/>
    <w:rsid w:val="00BD2B29"/>
  </w:style>
  <w:style w:type="character" w:styleId="FollowedHyperlink">
    <w:name w:val="FollowedHyperlink"/>
    <w:basedOn w:val="DefaultParagraphFont"/>
    <w:uiPriority w:val="99"/>
    <w:semiHidden/>
    <w:unhideWhenUsed/>
    <w:rsid w:val="00BD2B29"/>
    <w:rPr>
      <w:color w:val="954F72" w:themeColor="followedHyperlink"/>
      <w:u w:val="single"/>
    </w:rPr>
  </w:style>
  <w:style w:type="character" w:styleId="Strong">
    <w:name w:val="Strong"/>
    <w:basedOn w:val="DefaultParagraphFont"/>
    <w:uiPriority w:val="22"/>
    <w:qFormat/>
    <w:rsid w:val="007F2B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9109">
      <w:bodyDiv w:val="1"/>
      <w:marLeft w:val="0"/>
      <w:marRight w:val="0"/>
      <w:marTop w:val="0"/>
      <w:marBottom w:val="0"/>
      <w:divBdr>
        <w:top w:val="none" w:sz="0" w:space="0" w:color="auto"/>
        <w:left w:val="none" w:sz="0" w:space="0" w:color="auto"/>
        <w:bottom w:val="none" w:sz="0" w:space="0" w:color="auto"/>
        <w:right w:val="none" w:sz="0" w:space="0" w:color="auto"/>
      </w:divBdr>
    </w:div>
    <w:div w:id="201136367">
      <w:bodyDiv w:val="1"/>
      <w:marLeft w:val="0"/>
      <w:marRight w:val="0"/>
      <w:marTop w:val="0"/>
      <w:marBottom w:val="0"/>
      <w:divBdr>
        <w:top w:val="none" w:sz="0" w:space="0" w:color="auto"/>
        <w:left w:val="none" w:sz="0" w:space="0" w:color="auto"/>
        <w:bottom w:val="none" w:sz="0" w:space="0" w:color="auto"/>
        <w:right w:val="none" w:sz="0" w:space="0" w:color="auto"/>
      </w:divBdr>
      <w:divsChild>
        <w:div w:id="663511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80768">
      <w:bodyDiv w:val="1"/>
      <w:marLeft w:val="0"/>
      <w:marRight w:val="0"/>
      <w:marTop w:val="0"/>
      <w:marBottom w:val="0"/>
      <w:divBdr>
        <w:top w:val="none" w:sz="0" w:space="0" w:color="auto"/>
        <w:left w:val="none" w:sz="0" w:space="0" w:color="auto"/>
        <w:bottom w:val="none" w:sz="0" w:space="0" w:color="auto"/>
        <w:right w:val="none" w:sz="0" w:space="0" w:color="auto"/>
      </w:divBdr>
    </w:div>
    <w:div w:id="231431456">
      <w:bodyDiv w:val="1"/>
      <w:marLeft w:val="0"/>
      <w:marRight w:val="0"/>
      <w:marTop w:val="0"/>
      <w:marBottom w:val="0"/>
      <w:divBdr>
        <w:top w:val="none" w:sz="0" w:space="0" w:color="auto"/>
        <w:left w:val="none" w:sz="0" w:space="0" w:color="auto"/>
        <w:bottom w:val="none" w:sz="0" w:space="0" w:color="auto"/>
        <w:right w:val="none" w:sz="0" w:space="0" w:color="auto"/>
      </w:divBdr>
    </w:div>
    <w:div w:id="300578226">
      <w:bodyDiv w:val="1"/>
      <w:marLeft w:val="0"/>
      <w:marRight w:val="0"/>
      <w:marTop w:val="0"/>
      <w:marBottom w:val="0"/>
      <w:divBdr>
        <w:top w:val="none" w:sz="0" w:space="0" w:color="auto"/>
        <w:left w:val="none" w:sz="0" w:space="0" w:color="auto"/>
        <w:bottom w:val="none" w:sz="0" w:space="0" w:color="auto"/>
        <w:right w:val="none" w:sz="0" w:space="0" w:color="auto"/>
      </w:divBdr>
    </w:div>
    <w:div w:id="332415374">
      <w:bodyDiv w:val="1"/>
      <w:marLeft w:val="0"/>
      <w:marRight w:val="0"/>
      <w:marTop w:val="0"/>
      <w:marBottom w:val="0"/>
      <w:divBdr>
        <w:top w:val="none" w:sz="0" w:space="0" w:color="auto"/>
        <w:left w:val="none" w:sz="0" w:space="0" w:color="auto"/>
        <w:bottom w:val="none" w:sz="0" w:space="0" w:color="auto"/>
        <w:right w:val="none" w:sz="0" w:space="0" w:color="auto"/>
      </w:divBdr>
    </w:div>
    <w:div w:id="394545974">
      <w:bodyDiv w:val="1"/>
      <w:marLeft w:val="0"/>
      <w:marRight w:val="0"/>
      <w:marTop w:val="0"/>
      <w:marBottom w:val="0"/>
      <w:divBdr>
        <w:top w:val="none" w:sz="0" w:space="0" w:color="auto"/>
        <w:left w:val="none" w:sz="0" w:space="0" w:color="auto"/>
        <w:bottom w:val="none" w:sz="0" w:space="0" w:color="auto"/>
        <w:right w:val="none" w:sz="0" w:space="0" w:color="auto"/>
      </w:divBdr>
    </w:div>
    <w:div w:id="443308814">
      <w:bodyDiv w:val="1"/>
      <w:marLeft w:val="0"/>
      <w:marRight w:val="0"/>
      <w:marTop w:val="0"/>
      <w:marBottom w:val="0"/>
      <w:divBdr>
        <w:top w:val="none" w:sz="0" w:space="0" w:color="auto"/>
        <w:left w:val="none" w:sz="0" w:space="0" w:color="auto"/>
        <w:bottom w:val="none" w:sz="0" w:space="0" w:color="auto"/>
        <w:right w:val="none" w:sz="0" w:space="0" w:color="auto"/>
      </w:divBdr>
    </w:div>
    <w:div w:id="526023650">
      <w:bodyDiv w:val="1"/>
      <w:marLeft w:val="0"/>
      <w:marRight w:val="0"/>
      <w:marTop w:val="0"/>
      <w:marBottom w:val="0"/>
      <w:divBdr>
        <w:top w:val="none" w:sz="0" w:space="0" w:color="auto"/>
        <w:left w:val="none" w:sz="0" w:space="0" w:color="auto"/>
        <w:bottom w:val="none" w:sz="0" w:space="0" w:color="auto"/>
        <w:right w:val="none" w:sz="0" w:space="0" w:color="auto"/>
      </w:divBdr>
      <w:divsChild>
        <w:div w:id="1520966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761743">
      <w:bodyDiv w:val="1"/>
      <w:marLeft w:val="0"/>
      <w:marRight w:val="0"/>
      <w:marTop w:val="0"/>
      <w:marBottom w:val="0"/>
      <w:divBdr>
        <w:top w:val="none" w:sz="0" w:space="0" w:color="auto"/>
        <w:left w:val="none" w:sz="0" w:space="0" w:color="auto"/>
        <w:bottom w:val="none" w:sz="0" w:space="0" w:color="auto"/>
        <w:right w:val="none" w:sz="0" w:space="0" w:color="auto"/>
      </w:divBdr>
    </w:div>
    <w:div w:id="628516714">
      <w:bodyDiv w:val="1"/>
      <w:marLeft w:val="0"/>
      <w:marRight w:val="0"/>
      <w:marTop w:val="0"/>
      <w:marBottom w:val="0"/>
      <w:divBdr>
        <w:top w:val="none" w:sz="0" w:space="0" w:color="auto"/>
        <w:left w:val="none" w:sz="0" w:space="0" w:color="auto"/>
        <w:bottom w:val="none" w:sz="0" w:space="0" w:color="auto"/>
        <w:right w:val="none" w:sz="0" w:space="0" w:color="auto"/>
      </w:divBdr>
    </w:div>
    <w:div w:id="674112044">
      <w:bodyDiv w:val="1"/>
      <w:marLeft w:val="0"/>
      <w:marRight w:val="0"/>
      <w:marTop w:val="0"/>
      <w:marBottom w:val="0"/>
      <w:divBdr>
        <w:top w:val="none" w:sz="0" w:space="0" w:color="auto"/>
        <w:left w:val="none" w:sz="0" w:space="0" w:color="auto"/>
        <w:bottom w:val="none" w:sz="0" w:space="0" w:color="auto"/>
        <w:right w:val="none" w:sz="0" w:space="0" w:color="auto"/>
      </w:divBdr>
    </w:div>
    <w:div w:id="688995443">
      <w:bodyDiv w:val="1"/>
      <w:marLeft w:val="0"/>
      <w:marRight w:val="0"/>
      <w:marTop w:val="0"/>
      <w:marBottom w:val="0"/>
      <w:divBdr>
        <w:top w:val="none" w:sz="0" w:space="0" w:color="auto"/>
        <w:left w:val="none" w:sz="0" w:space="0" w:color="auto"/>
        <w:bottom w:val="none" w:sz="0" w:space="0" w:color="auto"/>
        <w:right w:val="none" w:sz="0" w:space="0" w:color="auto"/>
      </w:divBdr>
    </w:div>
    <w:div w:id="725449069">
      <w:bodyDiv w:val="1"/>
      <w:marLeft w:val="0"/>
      <w:marRight w:val="0"/>
      <w:marTop w:val="0"/>
      <w:marBottom w:val="0"/>
      <w:divBdr>
        <w:top w:val="none" w:sz="0" w:space="0" w:color="auto"/>
        <w:left w:val="none" w:sz="0" w:space="0" w:color="auto"/>
        <w:bottom w:val="none" w:sz="0" w:space="0" w:color="auto"/>
        <w:right w:val="none" w:sz="0" w:space="0" w:color="auto"/>
      </w:divBdr>
    </w:div>
    <w:div w:id="771391081">
      <w:bodyDiv w:val="1"/>
      <w:marLeft w:val="0"/>
      <w:marRight w:val="0"/>
      <w:marTop w:val="0"/>
      <w:marBottom w:val="0"/>
      <w:divBdr>
        <w:top w:val="none" w:sz="0" w:space="0" w:color="auto"/>
        <w:left w:val="none" w:sz="0" w:space="0" w:color="auto"/>
        <w:bottom w:val="none" w:sz="0" w:space="0" w:color="auto"/>
        <w:right w:val="none" w:sz="0" w:space="0" w:color="auto"/>
      </w:divBdr>
    </w:div>
    <w:div w:id="827987946">
      <w:bodyDiv w:val="1"/>
      <w:marLeft w:val="0"/>
      <w:marRight w:val="0"/>
      <w:marTop w:val="0"/>
      <w:marBottom w:val="0"/>
      <w:divBdr>
        <w:top w:val="none" w:sz="0" w:space="0" w:color="auto"/>
        <w:left w:val="none" w:sz="0" w:space="0" w:color="auto"/>
        <w:bottom w:val="none" w:sz="0" w:space="0" w:color="auto"/>
        <w:right w:val="none" w:sz="0" w:space="0" w:color="auto"/>
      </w:divBdr>
    </w:div>
    <w:div w:id="851407840">
      <w:bodyDiv w:val="1"/>
      <w:marLeft w:val="0"/>
      <w:marRight w:val="0"/>
      <w:marTop w:val="0"/>
      <w:marBottom w:val="0"/>
      <w:divBdr>
        <w:top w:val="none" w:sz="0" w:space="0" w:color="auto"/>
        <w:left w:val="none" w:sz="0" w:space="0" w:color="auto"/>
        <w:bottom w:val="none" w:sz="0" w:space="0" w:color="auto"/>
        <w:right w:val="none" w:sz="0" w:space="0" w:color="auto"/>
      </w:divBdr>
    </w:div>
    <w:div w:id="854342484">
      <w:bodyDiv w:val="1"/>
      <w:marLeft w:val="0"/>
      <w:marRight w:val="0"/>
      <w:marTop w:val="0"/>
      <w:marBottom w:val="0"/>
      <w:divBdr>
        <w:top w:val="none" w:sz="0" w:space="0" w:color="auto"/>
        <w:left w:val="none" w:sz="0" w:space="0" w:color="auto"/>
        <w:bottom w:val="none" w:sz="0" w:space="0" w:color="auto"/>
        <w:right w:val="none" w:sz="0" w:space="0" w:color="auto"/>
      </w:divBdr>
    </w:div>
    <w:div w:id="1107771144">
      <w:bodyDiv w:val="1"/>
      <w:marLeft w:val="0"/>
      <w:marRight w:val="0"/>
      <w:marTop w:val="0"/>
      <w:marBottom w:val="0"/>
      <w:divBdr>
        <w:top w:val="none" w:sz="0" w:space="0" w:color="auto"/>
        <w:left w:val="none" w:sz="0" w:space="0" w:color="auto"/>
        <w:bottom w:val="none" w:sz="0" w:space="0" w:color="auto"/>
        <w:right w:val="none" w:sz="0" w:space="0" w:color="auto"/>
      </w:divBdr>
    </w:div>
    <w:div w:id="1127745291">
      <w:bodyDiv w:val="1"/>
      <w:marLeft w:val="0"/>
      <w:marRight w:val="0"/>
      <w:marTop w:val="0"/>
      <w:marBottom w:val="0"/>
      <w:divBdr>
        <w:top w:val="none" w:sz="0" w:space="0" w:color="auto"/>
        <w:left w:val="none" w:sz="0" w:space="0" w:color="auto"/>
        <w:bottom w:val="none" w:sz="0" w:space="0" w:color="auto"/>
        <w:right w:val="none" w:sz="0" w:space="0" w:color="auto"/>
      </w:divBdr>
    </w:div>
    <w:div w:id="1171526946">
      <w:bodyDiv w:val="1"/>
      <w:marLeft w:val="0"/>
      <w:marRight w:val="0"/>
      <w:marTop w:val="0"/>
      <w:marBottom w:val="0"/>
      <w:divBdr>
        <w:top w:val="none" w:sz="0" w:space="0" w:color="auto"/>
        <w:left w:val="none" w:sz="0" w:space="0" w:color="auto"/>
        <w:bottom w:val="none" w:sz="0" w:space="0" w:color="auto"/>
        <w:right w:val="none" w:sz="0" w:space="0" w:color="auto"/>
      </w:divBdr>
    </w:div>
    <w:div w:id="1180852953">
      <w:bodyDiv w:val="1"/>
      <w:marLeft w:val="0"/>
      <w:marRight w:val="0"/>
      <w:marTop w:val="0"/>
      <w:marBottom w:val="0"/>
      <w:divBdr>
        <w:top w:val="none" w:sz="0" w:space="0" w:color="auto"/>
        <w:left w:val="none" w:sz="0" w:space="0" w:color="auto"/>
        <w:bottom w:val="none" w:sz="0" w:space="0" w:color="auto"/>
        <w:right w:val="none" w:sz="0" w:space="0" w:color="auto"/>
      </w:divBdr>
    </w:div>
    <w:div w:id="1293514341">
      <w:bodyDiv w:val="1"/>
      <w:marLeft w:val="0"/>
      <w:marRight w:val="0"/>
      <w:marTop w:val="0"/>
      <w:marBottom w:val="0"/>
      <w:divBdr>
        <w:top w:val="none" w:sz="0" w:space="0" w:color="auto"/>
        <w:left w:val="none" w:sz="0" w:space="0" w:color="auto"/>
        <w:bottom w:val="none" w:sz="0" w:space="0" w:color="auto"/>
        <w:right w:val="none" w:sz="0" w:space="0" w:color="auto"/>
      </w:divBdr>
    </w:div>
    <w:div w:id="1313951023">
      <w:bodyDiv w:val="1"/>
      <w:marLeft w:val="0"/>
      <w:marRight w:val="0"/>
      <w:marTop w:val="0"/>
      <w:marBottom w:val="0"/>
      <w:divBdr>
        <w:top w:val="none" w:sz="0" w:space="0" w:color="auto"/>
        <w:left w:val="none" w:sz="0" w:space="0" w:color="auto"/>
        <w:bottom w:val="none" w:sz="0" w:space="0" w:color="auto"/>
        <w:right w:val="none" w:sz="0" w:space="0" w:color="auto"/>
      </w:divBdr>
    </w:div>
    <w:div w:id="1369138779">
      <w:bodyDiv w:val="1"/>
      <w:marLeft w:val="0"/>
      <w:marRight w:val="0"/>
      <w:marTop w:val="0"/>
      <w:marBottom w:val="0"/>
      <w:divBdr>
        <w:top w:val="none" w:sz="0" w:space="0" w:color="auto"/>
        <w:left w:val="none" w:sz="0" w:space="0" w:color="auto"/>
        <w:bottom w:val="none" w:sz="0" w:space="0" w:color="auto"/>
        <w:right w:val="none" w:sz="0" w:space="0" w:color="auto"/>
      </w:divBdr>
    </w:div>
    <w:div w:id="1533032216">
      <w:bodyDiv w:val="1"/>
      <w:marLeft w:val="0"/>
      <w:marRight w:val="0"/>
      <w:marTop w:val="0"/>
      <w:marBottom w:val="0"/>
      <w:divBdr>
        <w:top w:val="none" w:sz="0" w:space="0" w:color="auto"/>
        <w:left w:val="none" w:sz="0" w:space="0" w:color="auto"/>
        <w:bottom w:val="none" w:sz="0" w:space="0" w:color="auto"/>
        <w:right w:val="none" w:sz="0" w:space="0" w:color="auto"/>
      </w:divBdr>
      <w:divsChild>
        <w:div w:id="1923755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525774">
      <w:bodyDiv w:val="1"/>
      <w:marLeft w:val="0"/>
      <w:marRight w:val="0"/>
      <w:marTop w:val="0"/>
      <w:marBottom w:val="0"/>
      <w:divBdr>
        <w:top w:val="none" w:sz="0" w:space="0" w:color="auto"/>
        <w:left w:val="none" w:sz="0" w:space="0" w:color="auto"/>
        <w:bottom w:val="none" w:sz="0" w:space="0" w:color="auto"/>
        <w:right w:val="none" w:sz="0" w:space="0" w:color="auto"/>
      </w:divBdr>
    </w:div>
    <w:div w:id="1619600969">
      <w:bodyDiv w:val="1"/>
      <w:marLeft w:val="0"/>
      <w:marRight w:val="0"/>
      <w:marTop w:val="0"/>
      <w:marBottom w:val="0"/>
      <w:divBdr>
        <w:top w:val="none" w:sz="0" w:space="0" w:color="auto"/>
        <w:left w:val="none" w:sz="0" w:space="0" w:color="auto"/>
        <w:bottom w:val="none" w:sz="0" w:space="0" w:color="auto"/>
        <w:right w:val="none" w:sz="0" w:space="0" w:color="auto"/>
      </w:divBdr>
    </w:div>
    <w:div w:id="1654142688">
      <w:bodyDiv w:val="1"/>
      <w:marLeft w:val="0"/>
      <w:marRight w:val="0"/>
      <w:marTop w:val="0"/>
      <w:marBottom w:val="0"/>
      <w:divBdr>
        <w:top w:val="none" w:sz="0" w:space="0" w:color="auto"/>
        <w:left w:val="none" w:sz="0" w:space="0" w:color="auto"/>
        <w:bottom w:val="none" w:sz="0" w:space="0" w:color="auto"/>
        <w:right w:val="none" w:sz="0" w:space="0" w:color="auto"/>
      </w:divBdr>
    </w:div>
    <w:div w:id="1874343279">
      <w:bodyDiv w:val="1"/>
      <w:marLeft w:val="0"/>
      <w:marRight w:val="0"/>
      <w:marTop w:val="0"/>
      <w:marBottom w:val="0"/>
      <w:divBdr>
        <w:top w:val="none" w:sz="0" w:space="0" w:color="auto"/>
        <w:left w:val="none" w:sz="0" w:space="0" w:color="auto"/>
        <w:bottom w:val="none" w:sz="0" w:space="0" w:color="auto"/>
        <w:right w:val="none" w:sz="0" w:space="0" w:color="auto"/>
      </w:divBdr>
    </w:div>
    <w:div w:id="1917980986">
      <w:bodyDiv w:val="1"/>
      <w:marLeft w:val="0"/>
      <w:marRight w:val="0"/>
      <w:marTop w:val="0"/>
      <w:marBottom w:val="0"/>
      <w:divBdr>
        <w:top w:val="none" w:sz="0" w:space="0" w:color="auto"/>
        <w:left w:val="none" w:sz="0" w:space="0" w:color="auto"/>
        <w:bottom w:val="none" w:sz="0" w:space="0" w:color="auto"/>
        <w:right w:val="none" w:sz="0" w:space="0" w:color="auto"/>
      </w:divBdr>
    </w:div>
    <w:div w:id="1922909058">
      <w:bodyDiv w:val="1"/>
      <w:marLeft w:val="0"/>
      <w:marRight w:val="0"/>
      <w:marTop w:val="0"/>
      <w:marBottom w:val="0"/>
      <w:divBdr>
        <w:top w:val="none" w:sz="0" w:space="0" w:color="auto"/>
        <w:left w:val="none" w:sz="0" w:space="0" w:color="auto"/>
        <w:bottom w:val="none" w:sz="0" w:space="0" w:color="auto"/>
        <w:right w:val="none" w:sz="0" w:space="0" w:color="auto"/>
      </w:divBdr>
    </w:div>
    <w:div w:id="1952468764">
      <w:bodyDiv w:val="1"/>
      <w:marLeft w:val="0"/>
      <w:marRight w:val="0"/>
      <w:marTop w:val="0"/>
      <w:marBottom w:val="0"/>
      <w:divBdr>
        <w:top w:val="none" w:sz="0" w:space="0" w:color="auto"/>
        <w:left w:val="none" w:sz="0" w:space="0" w:color="auto"/>
        <w:bottom w:val="none" w:sz="0" w:space="0" w:color="auto"/>
        <w:right w:val="none" w:sz="0" w:space="0" w:color="auto"/>
      </w:divBdr>
      <w:divsChild>
        <w:div w:id="1791196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596887">
      <w:bodyDiv w:val="1"/>
      <w:marLeft w:val="0"/>
      <w:marRight w:val="0"/>
      <w:marTop w:val="0"/>
      <w:marBottom w:val="0"/>
      <w:divBdr>
        <w:top w:val="none" w:sz="0" w:space="0" w:color="auto"/>
        <w:left w:val="none" w:sz="0" w:space="0" w:color="auto"/>
        <w:bottom w:val="none" w:sz="0" w:space="0" w:color="auto"/>
        <w:right w:val="none" w:sz="0" w:space="0" w:color="auto"/>
      </w:divBdr>
    </w:div>
    <w:div w:id="2025012730">
      <w:bodyDiv w:val="1"/>
      <w:marLeft w:val="0"/>
      <w:marRight w:val="0"/>
      <w:marTop w:val="0"/>
      <w:marBottom w:val="0"/>
      <w:divBdr>
        <w:top w:val="none" w:sz="0" w:space="0" w:color="auto"/>
        <w:left w:val="none" w:sz="0" w:space="0" w:color="auto"/>
        <w:bottom w:val="none" w:sz="0" w:space="0" w:color="auto"/>
        <w:right w:val="none" w:sz="0" w:space="0" w:color="auto"/>
      </w:divBdr>
    </w:div>
    <w:div w:id="2033677484">
      <w:bodyDiv w:val="1"/>
      <w:marLeft w:val="0"/>
      <w:marRight w:val="0"/>
      <w:marTop w:val="0"/>
      <w:marBottom w:val="0"/>
      <w:divBdr>
        <w:top w:val="none" w:sz="0" w:space="0" w:color="auto"/>
        <w:left w:val="none" w:sz="0" w:space="0" w:color="auto"/>
        <w:bottom w:val="none" w:sz="0" w:space="0" w:color="auto"/>
        <w:right w:val="none" w:sz="0" w:space="0" w:color="auto"/>
      </w:divBdr>
    </w:div>
    <w:div w:id="2067144788">
      <w:bodyDiv w:val="1"/>
      <w:marLeft w:val="0"/>
      <w:marRight w:val="0"/>
      <w:marTop w:val="0"/>
      <w:marBottom w:val="0"/>
      <w:divBdr>
        <w:top w:val="none" w:sz="0" w:space="0" w:color="auto"/>
        <w:left w:val="none" w:sz="0" w:space="0" w:color="auto"/>
        <w:bottom w:val="none" w:sz="0" w:space="0" w:color="auto"/>
        <w:right w:val="none" w:sz="0" w:space="0" w:color="auto"/>
      </w:divBdr>
    </w:div>
    <w:div w:id="211933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maliland.procurement@savethechildren.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omaliland.Tenders@savethechildren.org" TargetMode="External"/><Relationship Id="rId17" Type="http://schemas.openxmlformats.org/officeDocument/2006/relationships/hyperlink" Target="https://www.savethechildren.net/sites/www.savethechildren.net/files/Supplier%20Sustainability%20Policy.pdf"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maliland.Tenders@savethechildre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A2E363AAF1A74CB6922B642C169D59" ma:contentTypeVersion="18" ma:contentTypeDescription="Create a new document." ma:contentTypeScope="" ma:versionID="6b312c96b34419034e1fe672dc9466f1">
  <xsd:schema xmlns:xsd="http://www.w3.org/2001/XMLSchema" xmlns:xs="http://www.w3.org/2001/XMLSchema" xmlns:p="http://schemas.microsoft.com/office/2006/metadata/properties" xmlns:ns3="2c418d44-b75c-4b9e-a29f-22dde34c45c1" xmlns:ns4="25c05dcb-91f5-4fad-b83a-156ab5468b87" targetNamespace="http://schemas.microsoft.com/office/2006/metadata/properties" ma:root="true" ma:fieldsID="2193fd162dbf83176f92f70354832d3f" ns3:_="" ns4:_="">
    <xsd:import namespace="2c418d44-b75c-4b9e-a29f-22dde34c45c1"/>
    <xsd:import namespace="25c05dcb-91f5-4fad-b83a-156ab5468b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18d44-b75c-4b9e-a29f-22dde34c45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05dcb-91f5-4fad-b83a-156ab5468b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5c05dcb-91f5-4fad-b83a-156ab5468b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114C5-D0B1-4F6F-A8D8-23A016EF2BB9}">
  <ds:schemaRefs>
    <ds:schemaRef ds:uri="http://schemas.openxmlformats.org/officeDocument/2006/bibliography"/>
  </ds:schemaRefs>
</ds:datastoreItem>
</file>

<file path=customXml/itemProps2.xml><?xml version="1.0" encoding="utf-8"?>
<ds:datastoreItem xmlns:ds="http://schemas.openxmlformats.org/officeDocument/2006/customXml" ds:itemID="{232D84D8-2183-4031-98DC-88D7F9E8B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18d44-b75c-4b9e-a29f-22dde34c45c1"/>
    <ds:schemaRef ds:uri="25c05dcb-91f5-4fad-b83a-156ab5468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2C8AC5-52F7-48DC-97E6-6B4E8D39180E}">
  <ds:schemaRefs>
    <ds:schemaRef ds:uri="http://schemas.microsoft.com/office/2006/metadata/properties"/>
    <ds:schemaRef ds:uri="http://schemas.microsoft.com/office/infopath/2007/PartnerControls"/>
    <ds:schemaRef ds:uri="25c05dcb-91f5-4fad-b83a-156ab5468b87"/>
  </ds:schemaRefs>
</ds:datastoreItem>
</file>

<file path=customXml/itemProps4.xml><?xml version="1.0" encoding="utf-8"?>
<ds:datastoreItem xmlns:ds="http://schemas.openxmlformats.org/officeDocument/2006/customXml" ds:itemID="{59CD401E-8A73-4C92-BE2A-4AFF271CE61F}">
  <ds:schemaRefs>
    <ds:schemaRef ds:uri="http://schemas.microsoft.com/sharepoint/v3/contenttype/forms"/>
  </ds:schemaRefs>
</ds:datastoreItem>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Template>
  <TotalTime>9</TotalTime>
  <Pages>18</Pages>
  <Words>5970</Words>
  <Characters>34033</Characters>
  <Application>Microsoft Office Word</Application>
  <DocSecurity>0</DocSecurity>
  <Lines>283</Lines>
  <Paragraphs>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39924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Guled Ali, Yusuf</dc:creator>
  <cp:keywords/>
  <dc:description/>
  <cp:lastModifiedBy>Hussein Ahmed, Abdirahman</cp:lastModifiedBy>
  <cp:revision>11</cp:revision>
  <cp:lastPrinted>2022-08-29T08:52:00Z</cp:lastPrinted>
  <dcterms:created xsi:type="dcterms:W3CDTF">2026-07-01T05:39:00Z</dcterms:created>
  <dcterms:modified xsi:type="dcterms:W3CDTF">2026-07-01T05:44:00Z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0x01010045A2E363AAF1A74CB6922B642C169D59</vt:lpwstr>
  </property>
  <property fmtid="{D5CDD505-2E9C-101B-9397-08002B2CF9AE}" pid="3" name="MSIP_Label_7840c0f8-1866-4162-ad0f-2d70e03cc773_Enabled">
    <vt:lpwstr>True</vt:lpwstr>
  </property>
  <property fmtid="{D5CDD505-2E9C-101B-9397-08002B2CF9AE}" pid="4" name="MSIP_Label_7840c0f8-1866-4162-ad0f-2d70e03cc773_SiteId">
    <vt:lpwstr>b738c0f4-215a-438a-ad8b-3a8b60351c56</vt:lpwstr>
  </property>
  <property fmtid="{D5CDD505-2E9C-101B-9397-08002B2CF9AE}" pid="5" name="MSIP_Label_7840c0f8-1866-4162-ad0f-2d70e03cc773_Owner">
    <vt:lpwstr>raj@redbarnet.dk</vt:lpwstr>
  </property>
  <property fmtid="{D5CDD505-2E9C-101B-9397-08002B2CF9AE}" pid="6" name="MSIP_Label_7840c0f8-1866-4162-ad0f-2d70e03cc773_SetDate">
    <vt:lpwstr>2022-08-01T09:36:00.0317391Z</vt:lpwstr>
  </property>
  <property fmtid="{D5CDD505-2E9C-101B-9397-08002B2CF9AE}" pid="7" name="MSIP_Label_7840c0f8-1866-4162-ad0f-2d70e03cc773_Name">
    <vt:lpwstr>Public - Offentlig</vt:lpwstr>
  </property>
  <property fmtid="{D5CDD505-2E9C-101B-9397-08002B2CF9AE}" pid="8" name="MSIP_Label_7840c0f8-1866-4162-ad0f-2d70e03cc773_Application">
    <vt:lpwstr>Microsoft Azure Information Protection</vt:lpwstr>
  </property>
  <property fmtid="{D5CDD505-2E9C-101B-9397-08002B2CF9AE}" pid="9" name="MSIP_Label_7840c0f8-1866-4162-ad0f-2d70e03cc773_ActionId">
    <vt:lpwstr>bed4ad95-7c3e-44bd-901d-50f6c4e700ce</vt:lpwstr>
  </property>
  <property fmtid="{D5CDD505-2E9C-101B-9397-08002B2CF9AE}" pid="10" name="MSIP_Label_7840c0f8-1866-4162-ad0f-2d70e03cc773_Extended_MSFT_Method">
    <vt:lpwstr>Automatic</vt:lpwstr>
  </property>
  <property fmtid="{D5CDD505-2E9C-101B-9397-08002B2CF9AE}" pid="11" name="GrammarlyDocumentId">
    <vt:lpwstr>3abb1889-d392-49a2-bdd9-2791990ac674</vt:lpwstr>
  </property>
</Properties>
</file>