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C502" w14:textId="5029F3C7" w:rsidR="002C5835" w:rsidRPr="00B51F59" w:rsidRDefault="00B7426D" w:rsidP="00B51F59">
      <w:pPr>
        <w:jc w:val="center"/>
        <w:rPr>
          <w:rFonts w:ascii="Lato" w:hAnsi="Lato" w:cs="Arial"/>
          <w:b/>
          <w:bCs/>
          <w:sz w:val="32"/>
          <w:szCs w:val="32"/>
          <w:shd w:val="clear" w:color="auto" w:fill="D9D9D9"/>
        </w:rPr>
      </w:pPr>
      <w:r w:rsidRPr="00B51F59">
        <w:rPr>
          <w:rFonts w:ascii="Lato" w:hAnsi="Lato" w:cs="Arial"/>
          <w:b/>
          <w:bCs/>
          <w:sz w:val="32"/>
          <w:szCs w:val="32"/>
          <w:shd w:val="clear" w:color="auto" w:fill="D9D9D9"/>
        </w:rPr>
        <w:t>INVITATION TO BID FOR CONSULTANCY</w:t>
      </w:r>
    </w:p>
    <w:tbl>
      <w:tblPr>
        <w:tblpPr w:leftFromText="180" w:rightFromText="180" w:vertAnchor="text" w:tblpXSpec="right" w:tblpY="1"/>
        <w:tblOverlap w:val="never"/>
        <w:tblW w:w="10055"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321"/>
        <w:gridCol w:w="2622"/>
        <w:gridCol w:w="4590"/>
        <w:gridCol w:w="2522"/>
      </w:tblGrid>
      <w:tr w:rsidR="00472275" w:rsidRPr="00D15476" w14:paraId="29E05DEE" w14:textId="77777777" w:rsidTr="008B3D51">
        <w:trPr>
          <w:trHeight w:val="974"/>
        </w:trPr>
        <w:tc>
          <w:tcPr>
            <w:tcW w:w="321" w:type="dxa"/>
            <w:shd w:val="clear" w:color="auto" w:fill="F2F2F2"/>
          </w:tcPr>
          <w:p w14:paraId="1674B58D" w14:textId="33885C88" w:rsidR="00B7426D" w:rsidRPr="00D15476" w:rsidRDefault="00F75B79" w:rsidP="005E51AC">
            <w:pPr>
              <w:spacing w:after="0"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1</w:t>
            </w:r>
          </w:p>
        </w:tc>
        <w:tc>
          <w:tcPr>
            <w:tcW w:w="2622" w:type="dxa"/>
            <w:shd w:val="clear" w:color="auto" w:fill="F2F2F2"/>
          </w:tcPr>
          <w:p w14:paraId="4D2AF397" w14:textId="77777777" w:rsidR="00E12AF7" w:rsidRDefault="00E12AF7" w:rsidP="0054575A">
            <w:pPr>
              <w:spacing w:after="0" w:line="240" w:lineRule="auto"/>
              <w:rPr>
                <w:rFonts w:ascii="Lato" w:hAnsi="Lato" w:cs="Arial"/>
                <w:b/>
                <w:color w:val="000000" w:themeColor="text1"/>
                <w:sz w:val="20"/>
                <w:szCs w:val="20"/>
              </w:rPr>
            </w:pPr>
          </w:p>
          <w:p w14:paraId="5304A9D2" w14:textId="77777777" w:rsidR="00E12AF7" w:rsidRDefault="00E12AF7" w:rsidP="0054575A">
            <w:pPr>
              <w:spacing w:after="0" w:line="240" w:lineRule="auto"/>
              <w:rPr>
                <w:rFonts w:ascii="Lato" w:hAnsi="Lato" w:cs="Arial"/>
                <w:b/>
                <w:color w:val="000000" w:themeColor="text1"/>
                <w:sz w:val="20"/>
                <w:szCs w:val="20"/>
              </w:rPr>
            </w:pPr>
          </w:p>
          <w:p w14:paraId="1665AB48" w14:textId="74F3B7E0" w:rsidR="00B7426D" w:rsidRPr="00D15476" w:rsidRDefault="00F75B79" w:rsidP="0054575A">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Title of Consultancy</w:t>
            </w:r>
          </w:p>
        </w:tc>
        <w:tc>
          <w:tcPr>
            <w:tcW w:w="7112" w:type="dxa"/>
            <w:gridSpan w:val="2"/>
          </w:tcPr>
          <w:p w14:paraId="5568A074" w14:textId="1BE0FBE7" w:rsidR="00321D6E" w:rsidRPr="00321D6E" w:rsidRDefault="00C20275" w:rsidP="00321D6E">
            <w:pPr>
              <w:jc w:val="both"/>
              <w:rPr>
                <w:rFonts w:ascii="Gill Sans MT" w:hAnsi="Gill Sans MT" w:cs="Arial"/>
                <w:b/>
                <w:bCs/>
                <w:color w:val="000000" w:themeColor="text1"/>
              </w:rPr>
            </w:pPr>
            <w:r w:rsidRPr="00321D6E">
              <w:rPr>
                <w:rFonts w:ascii="Gill Sans MT" w:hAnsi="Gill Sans MT" w:cs="Arial"/>
                <w:b/>
                <w:bCs/>
                <w:color w:val="000000" w:themeColor="text1"/>
              </w:rPr>
              <w:t xml:space="preserve">TERMS OF REFERENCE FOR </w:t>
            </w:r>
            <w:r w:rsidR="00321D6E" w:rsidRPr="00321D6E">
              <w:rPr>
                <w:rFonts w:ascii="Gill Sans MT" w:hAnsi="Gill Sans MT" w:cs="Arial"/>
                <w:b/>
                <w:bCs/>
                <w:color w:val="000000" w:themeColor="text1"/>
              </w:rPr>
              <w:t xml:space="preserve">CONSULTANCY SERVICE </w:t>
            </w:r>
            <w:r w:rsidR="00A95C6B">
              <w:rPr>
                <w:rFonts w:ascii="Gill Sans MT" w:hAnsi="Gill Sans MT" w:cs="Arial"/>
                <w:b/>
                <w:bCs/>
                <w:color w:val="000000" w:themeColor="text1"/>
              </w:rPr>
              <w:t>TO</w:t>
            </w:r>
            <w:r w:rsidR="00321D6E" w:rsidRPr="00321D6E">
              <w:rPr>
                <w:rFonts w:ascii="Gill Sans MT" w:hAnsi="Gill Sans MT" w:cs="Arial"/>
                <w:b/>
                <w:bCs/>
                <w:color w:val="000000" w:themeColor="text1"/>
              </w:rPr>
              <w:t xml:space="preserve"> CONDUCT</w:t>
            </w:r>
            <w:r w:rsidR="00A95C6B">
              <w:rPr>
                <w:rFonts w:ascii="Gill Sans MT" w:hAnsi="Gill Sans MT" w:cs="Arial"/>
                <w:b/>
                <w:bCs/>
                <w:color w:val="000000" w:themeColor="text1"/>
              </w:rPr>
              <w:t xml:space="preserve"> </w:t>
            </w:r>
            <w:r w:rsidR="00321D6E" w:rsidRPr="00321D6E">
              <w:rPr>
                <w:rFonts w:ascii="Gill Sans MT" w:hAnsi="Gill Sans MT" w:cs="Arial"/>
                <w:b/>
                <w:bCs/>
                <w:color w:val="000000" w:themeColor="text1"/>
              </w:rPr>
              <w:t>A POLITICAL ECONOMY ANALYSIS (PEA) ON CHILD RIGHTS IN SOMALIA</w:t>
            </w:r>
          </w:p>
        </w:tc>
      </w:tr>
      <w:tr w:rsidR="00F75B79" w:rsidRPr="00D15476" w14:paraId="0A0E09BE" w14:textId="77777777" w:rsidTr="005E51AC">
        <w:trPr>
          <w:trHeight w:val="396"/>
        </w:trPr>
        <w:tc>
          <w:tcPr>
            <w:tcW w:w="321" w:type="dxa"/>
            <w:shd w:val="clear" w:color="auto" w:fill="F2F2F2"/>
          </w:tcPr>
          <w:p w14:paraId="39163636" w14:textId="37A66433"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2</w:t>
            </w:r>
          </w:p>
        </w:tc>
        <w:tc>
          <w:tcPr>
            <w:tcW w:w="2622" w:type="dxa"/>
            <w:shd w:val="clear" w:color="auto" w:fill="F2F2F2"/>
          </w:tcPr>
          <w:p w14:paraId="242A9441" w14:textId="055ED9A3" w:rsidR="00F75B79" w:rsidRPr="00D15476" w:rsidRDefault="00F75B79" w:rsidP="00F75B79">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SCI Contracting Office</w:t>
            </w:r>
          </w:p>
        </w:tc>
        <w:tc>
          <w:tcPr>
            <w:tcW w:w="7112" w:type="dxa"/>
            <w:gridSpan w:val="2"/>
          </w:tcPr>
          <w:p w14:paraId="108644E7" w14:textId="6EBA28E2" w:rsidR="00F75B79" w:rsidRPr="009B13B1" w:rsidRDefault="00F75B79" w:rsidP="00F75B79">
            <w:pPr>
              <w:pStyle w:val="NoSpacing"/>
              <w:rPr>
                <w:rFonts w:ascii="Lato" w:hAnsi="Lato" w:cs="Arial"/>
                <w:b/>
                <w:bCs/>
                <w:color w:val="000000" w:themeColor="text1"/>
                <w:sz w:val="20"/>
                <w:szCs w:val="20"/>
              </w:rPr>
            </w:pPr>
            <w:r w:rsidRPr="009B13B1">
              <w:rPr>
                <w:rFonts w:ascii="Lato" w:hAnsi="Lato" w:cs="Arial"/>
                <w:b/>
                <w:bCs/>
                <w:color w:val="000000" w:themeColor="text1"/>
                <w:sz w:val="20"/>
                <w:szCs w:val="20"/>
              </w:rPr>
              <w:t>Save the Children Soma</w:t>
            </w:r>
            <w:r w:rsidR="003D786B" w:rsidRPr="009B13B1">
              <w:rPr>
                <w:rFonts w:ascii="Lato" w:hAnsi="Lato" w:cs="Arial"/>
                <w:b/>
                <w:bCs/>
                <w:color w:val="000000" w:themeColor="text1"/>
                <w:sz w:val="20"/>
                <w:szCs w:val="20"/>
              </w:rPr>
              <w:t>lia/land Country Office</w:t>
            </w:r>
          </w:p>
        </w:tc>
      </w:tr>
      <w:tr w:rsidR="00F75B79" w:rsidRPr="00D15476" w14:paraId="46B74336" w14:textId="77777777" w:rsidTr="00FB3023">
        <w:trPr>
          <w:trHeight w:val="1024"/>
        </w:trPr>
        <w:tc>
          <w:tcPr>
            <w:tcW w:w="321" w:type="dxa"/>
            <w:shd w:val="clear" w:color="auto" w:fill="F2F2F2"/>
          </w:tcPr>
          <w:p w14:paraId="1F803A7F"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3</w:t>
            </w:r>
          </w:p>
        </w:tc>
        <w:tc>
          <w:tcPr>
            <w:tcW w:w="2622" w:type="dxa"/>
            <w:shd w:val="clear" w:color="auto" w:fill="F2F2F2"/>
          </w:tcPr>
          <w:p w14:paraId="1550D51C" w14:textId="77777777" w:rsidR="00F75B79" w:rsidRPr="00D15476" w:rsidRDefault="00F75B79" w:rsidP="00F75B79">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Period of Consultancy</w:t>
            </w:r>
          </w:p>
        </w:tc>
        <w:tc>
          <w:tcPr>
            <w:tcW w:w="7112" w:type="dxa"/>
            <w:gridSpan w:val="2"/>
          </w:tcPr>
          <w:p w14:paraId="590C44C6" w14:textId="3105E146" w:rsidR="009A77AC" w:rsidRPr="00AC3246" w:rsidRDefault="009A77AC" w:rsidP="003D786B">
            <w:pPr>
              <w:spacing w:after="0" w:line="240" w:lineRule="auto"/>
              <w:jc w:val="both"/>
              <w:rPr>
                <w:rFonts w:ascii="Lato" w:hAnsi="Lato" w:cs="Arial"/>
                <w:color w:val="000000" w:themeColor="text1"/>
                <w:sz w:val="20"/>
                <w:szCs w:val="20"/>
                <w:lang w:val="en-GB"/>
              </w:rPr>
            </w:pPr>
            <w:r w:rsidRPr="009A77AC">
              <w:rPr>
                <w:rFonts w:ascii="Lato" w:hAnsi="Lato" w:cs="Arial"/>
                <w:color w:val="000000" w:themeColor="text1"/>
                <w:sz w:val="20"/>
                <w:szCs w:val="20"/>
              </w:rPr>
              <w:t>The duration of this assignment is 45 days, encompassing preparation of materials and resources, desk review, workshop facilitation, and development of the final report. Specific schedules will be agreed upon with the selected consultant/consultancy firm.</w:t>
            </w:r>
          </w:p>
        </w:tc>
      </w:tr>
      <w:tr w:rsidR="00F75B79" w:rsidRPr="00D15476" w14:paraId="6A759BE4" w14:textId="77777777" w:rsidTr="005E51AC">
        <w:trPr>
          <w:trHeight w:val="296"/>
        </w:trPr>
        <w:tc>
          <w:tcPr>
            <w:tcW w:w="321" w:type="dxa"/>
            <w:shd w:val="clear" w:color="auto" w:fill="F2F2F2"/>
          </w:tcPr>
          <w:p w14:paraId="7F9A3BF1"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4</w:t>
            </w:r>
          </w:p>
        </w:tc>
        <w:tc>
          <w:tcPr>
            <w:tcW w:w="2622" w:type="dxa"/>
            <w:shd w:val="clear" w:color="auto" w:fill="F2F2F2"/>
          </w:tcPr>
          <w:p w14:paraId="5AFA77C6" w14:textId="77777777" w:rsidR="00F75B79" w:rsidRPr="00D15476" w:rsidRDefault="00F75B79" w:rsidP="00F75B79">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 xml:space="preserve">Consultant type required </w:t>
            </w:r>
          </w:p>
        </w:tc>
        <w:tc>
          <w:tcPr>
            <w:tcW w:w="7112" w:type="dxa"/>
            <w:gridSpan w:val="2"/>
          </w:tcPr>
          <w:p w14:paraId="55D1BE12" w14:textId="0AAC8C73" w:rsidR="00F75B79" w:rsidRPr="00C426FB" w:rsidRDefault="00C426FB" w:rsidP="00C426FB">
            <w:pPr>
              <w:spacing w:after="0" w:line="240" w:lineRule="auto"/>
              <w:jc w:val="both"/>
              <w:rPr>
                <w:rFonts w:ascii="Lato" w:hAnsi="Lato" w:cs="Arial"/>
                <w:b/>
                <w:bCs/>
                <w:color w:val="000000" w:themeColor="text1"/>
                <w:sz w:val="20"/>
                <w:szCs w:val="20"/>
              </w:rPr>
            </w:pPr>
            <w:r w:rsidRPr="00C426FB">
              <w:rPr>
                <w:rFonts w:ascii="Lato" w:hAnsi="Lato" w:cs="Arial"/>
                <w:b/>
                <w:bCs/>
                <w:color w:val="000000" w:themeColor="text1"/>
                <w:sz w:val="20"/>
                <w:szCs w:val="20"/>
              </w:rPr>
              <w:t>Consultancy Firm</w:t>
            </w:r>
            <w:r w:rsidR="000B5501">
              <w:rPr>
                <w:rFonts w:ascii="Lato" w:hAnsi="Lato" w:cs="Arial"/>
                <w:b/>
                <w:bCs/>
                <w:color w:val="000000" w:themeColor="text1"/>
                <w:sz w:val="20"/>
                <w:szCs w:val="20"/>
              </w:rPr>
              <w:t>/Individual</w:t>
            </w:r>
          </w:p>
        </w:tc>
      </w:tr>
      <w:tr w:rsidR="00F75B79" w:rsidRPr="00D15476" w14:paraId="36A0AEC1" w14:textId="77777777" w:rsidTr="005E51AC">
        <w:trPr>
          <w:trHeight w:val="1105"/>
        </w:trPr>
        <w:tc>
          <w:tcPr>
            <w:tcW w:w="321" w:type="dxa"/>
            <w:shd w:val="clear" w:color="auto" w:fill="F2F2F2"/>
          </w:tcPr>
          <w:p w14:paraId="3CEA747C"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5</w:t>
            </w:r>
          </w:p>
        </w:tc>
        <w:tc>
          <w:tcPr>
            <w:tcW w:w="2622" w:type="dxa"/>
            <w:shd w:val="clear" w:color="auto" w:fill="F2F2F2"/>
          </w:tcPr>
          <w:p w14:paraId="0983A027" w14:textId="77777777" w:rsidR="00F75B79" w:rsidRPr="00D15476" w:rsidRDefault="00F75B79" w:rsidP="00F75B79">
            <w:pPr>
              <w:spacing w:after="0" w:line="240" w:lineRule="auto"/>
              <w:rPr>
                <w:rFonts w:ascii="Lato" w:hAnsi="Lato" w:cs="Arial"/>
                <w:b/>
                <w:color w:val="000000" w:themeColor="text1"/>
                <w:sz w:val="20"/>
                <w:szCs w:val="20"/>
              </w:rPr>
            </w:pPr>
            <w:r w:rsidRPr="00D15476">
              <w:rPr>
                <w:rFonts w:ascii="Lato" w:hAnsi="Lato" w:cs="Arial"/>
                <w:b/>
                <w:color w:val="000000" w:themeColor="text1"/>
                <w:sz w:val="20"/>
                <w:szCs w:val="20"/>
              </w:rPr>
              <w:t>Responsibility for Logistics arrangements and Costs</w:t>
            </w:r>
          </w:p>
        </w:tc>
        <w:tc>
          <w:tcPr>
            <w:tcW w:w="7112" w:type="dxa"/>
            <w:gridSpan w:val="2"/>
          </w:tcPr>
          <w:p w14:paraId="19A3A940" w14:textId="61D6D0F2" w:rsidR="0088642A" w:rsidRPr="00D15476" w:rsidRDefault="00F75B79" w:rsidP="00F75B79">
            <w:pPr>
              <w:spacing w:after="0" w:line="240" w:lineRule="auto"/>
              <w:jc w:val="both"/>
              <w:rPr>
                <w:rFonts w:ascii="Lato" w:hAnsi="Lato" w:cs="Arial"/>
                <w:color w:val="000000" w:themeColor="text1"/>
                <w:sz w:val="20"/>
                <w:szCs w:val="20"/>
              </w:rPr>
            </w:pPr>
            <w:r w:rsidRPr="00D15476">
              <w:rPr>
                <w:rFonts w:ascii="Lato" w:hAnsi="Lato" w:cs="Arial"/>
                <w:color w:val="000000" w:themeColor="text1"/>
                <w:sz w:val="20"/>
                <w:szCs w:val="20"/>
              </w:rPr>
              <w:t xml:space="preserve">Save the children will pay the consultant fee in a lump sum and will not reimburse any incurred costs during the assignment. The consultant will cover their own Logistical arrangements, costs; including food, accommodation, local transport and all cost associated with data collection work and whole activities. </w:t>
            </w:r>
          </w:p>
        </w:tc>
      </w:tr>
      <w:tr w:rsidR="00F75B79" w:rsidRPr="00D15476" w14:paraId="4E4CABD4" w14:textId="77777777" w:rsidTr="002A76EF">
        <w:trPr>
          <w:trHeight w:val="833"/>
        </w:trPr>
        <w:tc>
          <w:tcPr>
            <w:tcW w:w="321" w:type="dxa"/>
            <w:shd w:val="clear" w:color="auto" w:fill="F2F2F2"/>
          </w:tcPr>
          <w:p w14:paraId="4D5CE5EC"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6</w:t>
            </w:r>
          </w:p>
        </w:tc>
        <w:tc>
          <w:tcPr>
            <w:tcW w:w="2622" w:type="dxa"/>
            <w:shd w:val="clear" w:color="auto" w:fill="F2F2F2"/>
          </w:tcPr>
          <w:p w14:paraId="7FED7755" w14:textId="77777777" w:rsidR="00F75B79" w:rsidRPr="00D15476" w:rsidRDefault="00F75B79" w:rsidP="00F75B79">
            <w:pPr>
              <w:spacing w:after="0" w:line="240" w:lineRule="auto"/>
              <w:jc w:val="both"/>
              <w:rPr>
                <w:rFonts w:ascii="Lato" w:hAnsi="Lato" w:cs="Arial"/>
                <w:b/>
                <w:color w:val="000000" w:themeColor="text1"/>
                <w:sz w:val="20"/>
                <w:szCs w:val="20"/>
              </w:rPr>
            </w:pPr>
            <w:r w:rsidRPr="00D15476">
              <w:rPr>
                <w:rFonts w:ascii="Lato" w:hAnsi="Lato" w:cs="Arial"/>
                <w:b/>
                <w:color w:val="000000" w:themeColor="text1"/>
                <w:sz w:val="20"/>
                <w:szCs w:val="20"/>
              </w:rPr>
              <w:t>Taxation Provisions</w:t>
            </w:r>
          </w:p>
        </w:tc>
        <w:tc>
          <w:tcPr>
            <w:tcW w:w="7112" w:type="dxa"/>
            <w:gridSpan w:val="2"/>
          </w:tcPr>
          <w:p w14:paraId="5407E799" w14:textId="665662E5" w:rsidR="00F75B79" w:rsidRPr="00D15476" w:rsidRDefault="00F75B79" w:rsidP="00F75B79">
            <w:pPr>
              <w:spacing w:after="0" w:line="240" w:lineRule="auto"/>
              <w:jc w:val="both"/>
              <w:rPr>
                <w:rFonts w:ascii="Lato" w:hAnsi="Lato" w:cs="Arial"/>
                <w:color w:val="000000" w:themeColor="text1"/>
                <w:sz w:val="20"/>
                <w:szCs w:val="20"/>
              </w:rPr>
            </w:pPr>
            <w:r w:rsidRPr="00D15476">
              <w:rPr>
                <w:rFonts w:ascii="Lato" w:hAnsi="Lato" w:cs="Arial"/>
                <w:color w:val="000000" w:themeColor="text1"/>
                <w:sz w:val="20"/>
                <w:szCs w:val="20"/>
              </w:rPr>
              <w:t>The consultancy firm</w:t>
            </w:r>
            <w:r w:rsidR="005073CA">
              <w:rPr>
                <w:rFonts w:ascii="Lato" w:hAnsi="Lato" w:cs="Arial"/>
                <w:color w:val="000000" w:themeColor="text1"/>
                <w:sz w:val="20"/>
                <w:szCs w:val="20"/>
              </w:rPr>
              <w:t xml:space="preserve"> and/or Individual Consultant</w:t>
            </w:r>
            <w:r w:rsidRPr="00D15476">
              <w:rPr>
                <w:rFonts w:ascii="Lato" w:hAnsi="Lato" w:cs="Arial"/>
                <w:color w:val="000000" w:themeColor="text1"/>
                <w:sz w:val="20"/>
                <w:szCs w:val="20"/>
              </w:rPr>
              <w:t xml:space="preserve"> shall be responsible for all taxes arising from the consultancy in line with the local Tax regulations applicable at the SCI contracting office</w:t>
            </w:r>
            <w:r w:rsidR="002A76EF">
              <w:rPr>
                <w:rFonts w:ascii="Lato" w:hAnsi="Lato" w:cs="Arial"/>
                <w:color w:val="000000" w:themeColor="text1"/>
                <w:sz w:val="20"/>
                <w:szCs w:val="20"/>
              </w:rPr>
              <w:t>.</w:t>
            </w:r>
          </w:p>
        </w:tc>
      </w:tr>
      <w:tr w:rsidR="00F75B79" w:rsidRPr="00D15476" w14:paraId="44F44445" w14:textId="77777777" w:rsidTr="00AC3246">
        <w:trPr>
          <w:trHeight w:val="547"/>
        </w:trPr>
        <w:tc>
          <w:tcPr>
            <w:tcW w:w="321" w:type="dxa"/>
            <w:shd w:val="clear" w:color="auto" w:fill="F2F2F2"/>
          </w:tcPr>
          <w:p w14:paraId="6E68B649"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7</w:t>
            </w:r>
          </w:p>
        </w:tc>
        <w:tc>
          <w:tcPr>
            <w:tcW w:w="2622" w:type="dxa"/>
            <w:shd w:val="clear" w:color="auto" w:fill="F2F2F2"/>
          </w:tcPr>
          <w:p w14:paraId="4225F94B" w14:textId="77777777" w:rsidR="00F75B79" w:rsidRPr="00D15476" w:rsidRDefault="00F75B79" w:rsidP="00F75B79">
            <w:pPr>
              <w:spacing w:after="0" w:line="240" w:lineRule="auto"/>
              <w:jc w:val="both"/>
              <w:rPr>
                <w:rFonts w:ascii="Lato" w:hAnsi="Lato" w:cs="Arial"/>
                <w:b/>
                <w:color w:val="000000" w:themeColor="text1"/>
                <w:sz w:val="20"/>
                <w:szCs w:val="20"/>
              </w:rPr>
            </w:pPr>
            <w:r w:rsidRPr="00D15476">
              <w:rPr>
                <w:rFonts w:ascii="Lato" w:hAnsi="Lato" w:cs="Arial"/>
                <w:b/>
                <w:color w:val="000000" w:themeColor="text1"/>
                <w:sz w:val="20"/>
                <w:szCs w:val="20"/>
              </w:rPr>
              <w:t xml:space="preserve">Travel requirements </w:t>
            </w:r>
          </w:p>
        </w:tc>
        <w:tc>
          <w:tcPr>
            <w:tcW w:w="7112" w:type="dxa"/>
            <w:gridSpan w:val="2"/>
          </w:tcPr>
          <w:p w14:paraId="45D985F1" w14:textId="50385512" w:rsidR="00F75B79" w:rsidRPr="00D15476" w:rsidRDefault="00F75B79" w:rsidP="00F75B79">
            <w:pPr>
              <w:spacing w:after="0" w:line="240" w:lineRule="auto"/>
              <w:jc w:val="both"/>
              <w:rPr>
                <w:rFonts w:ascii="Lato" w:hAnsi="Lato" w:cs="Arial"/>
                <w:color w:val="000000" w:themeColor="text1"/>
                <w:sz w:val="20"/>
                <w:szCs w:val="20"/>
              </w:rPr>
            </w:pPr>
            <w:r w:rsidRPr="006A6798">
              <w:rPr>
                <w:rFonts w:ascii="Lato" w:hAnsi="Lato" w:cs="Arial"/>
                <w:color w:val="000000" w:themeColor="text1"/>
                <w:sz w:val="20"/>
                <w:szCs w:val="20"/>
              </w:rPr>
              <w:t xml:space="preserve">The consultancy </w:t>
            </w:r>
            <w:r w:rsidR="005073CA" w:rsidRPr="006A6798">
              <w:rPr>
                <w:rFonts w:ascii="Lato" w:hAnsi="Lato" w:cs="Arial"/>
                <w:color w:val="000000" w:themeColor="text1"/>
                <w:sz w:val="20"/>
                <w:szCs w:val="20"/>
              </w:rPr>
              <w:t>firm</w:t>
            </w:r>
            <w:r w:rsidR="005073CA">
              <w:rPr>
                <w:rFonts w:ascii="Lato" w:hAnsi="Lato" w:cs="Arial"/>
                <w:color w:val="000000" w:themeColor="text1"/>
                <w:sz w:val="20"/>
                <w:szCs w:val="20"/>
              </w:rPr>
              <w:t xml:space="preserve"> and/or Individual Consultant</w:t>
            </w:r>
            <w:r w:rsidR="005073CA" w:rsidRPr="00D15476">
              <w:rPr>
                <w:rFonts w:ascii="Lato" w:hAnsi="Lato" w:cs="Arial"/>
                <w:color w:val="000000" w:themeColor="text1"/>
                <w:sz w:val="20"/>
                <w:szCs w:val="20"/>
              </w:rPr>
              <w:t xml:space="preserve"> </w:t>
            </w:r>
            <w:r w:rsidRPr="006A6798">
              <w:rPr>
                <w:rFonts w:ascii="Lato" w:hAnsi="Lato" w:cs="Arial"/>
                <w:color w:val="000000" w:themeColor="text1"/>
                <w:sz w:val="20"/>
                <w:szCs w:val="20"/>
              </w:rPr>
              <w:t>will cover all travel costs (tickets) and arrange local travel to field sites.</w:t>
            </w:r>
          </w:p>
        </w:tc>
      </w:tr>
      <w:tr w:rsidR="00F75B79" w:rsidRPr="00D15476" w14:paraId="66D55F0B" w14:textId="77777777" w:rsidTr="005E51AC">
        <w:trPr>
          <w:trHeight w:val="672"/>
        </w:trPr>
        <w:tc>
          <w:tcPr>
            <w:tcW w:w="321" w:type="dxa"/>
            <w:shd w:val="clear" w:color="auto" w:fill="F2F2F2"/>
          </w:tcPr>
          <w:p w14:paraId="69EBDD1C" w14:textId="77777777" w:rsidR="00F75B79" w:rsidRPr="00D15476" w:rsidRDefault="00F75B79"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8</w:t>
            </w:r>
          </w:p>
        </w:tc>
        <w:tc>
          <w:tcPr>
            <w:tcW w:w="2622" w:type="dxa"/>
            <w:shd w:val="clear" w:color="auto" w:fill="F2F2F2"/>
          </w:tcPr>
          <w:p w14:paraId="188E7768" w14:textId="77777777" w:rsidR="00F75B79" w:rsidRPr="00D15476" w:rsidRDefault="00F75B79" w:rsidP="00F75B79">
            <w:pPr>
              <w:spacing w:after="0" w:line="240" w:lineRule="auto"/>
              <w:jc w:val="both"/>
              <w:rPr>
                <w:rFonts w:ascii="Lato" w:hAnsi="Lato" w:cs="Arial"/>
                <w:b/>
                <w:color w:val="000000" w:themeColor="text1"/>
                <w:sz w:val="20"/>
                <w:szCs w:val="20"/>
              </w:rPr>
            </w:pPr>
            <w:r w:rsidRPr="00D15476">
              <w:rPr>
                <w:rFonts w:ascii="Lato" w:hAnsi="Lato" w:cs="Arial"/>
                <w:b/>
                <w:color w:val="000000" w:themeColor="text1"/>
                <w:sz w:val="20"/>
                <w:szCs w:val="20"/>
              </w:rPr>
              <w:t>Security requirements</w:t>
            </w:r>
          </w:p>
        </w:tc>
        <w:tc>
          <w:tcPr>
            <w:tcW w:w="7112" w:type="dxa"/>
            <w:gridSpan w:val="2"/>
          </w:tcPr>
          <w:p w14:paraId="2C878A67" w14:textId="2E48CD22" w:rsidR="00F75B79" w:rsidRPr="00D15476" w:rsidRDefault="00F75B79" w:rsidP="00F75B79">
            <w:pPr>
              <w:spacing w:after="0" w:line="240" w:lineRule="auto"/>
              <w:jc w:val="both"/>
              <w:rPr>
                <w:rFonts w:ascii="Lato" w:hAnsi="Lato" w:cs="Arial"/>
                <w:color w:val="000000" w:themeColor="text1"/>
                <w:sz w:val="20"/>
                <w:szCs w:val="20"/>
              </w:rPr>
            </w:pPr>
            <w:r w:rsidRPr="00D15476">
              <w:rPr>
                <w:rFonts w:ascii="Lato" w:hAnsi="Lato" w:cs="Arial"/>
                <w:color w:val="000000" w:themeColor="text1"/>
                <w:sz w:val="20"/>
                <w:szCs w:val="20"/>
              </w:rPr>
              <w:t xml:space="preserve">The consultancy </w:t>
            </w:r>
            <w:r w:rsidR="005073CA" w:rsidRPr="00D15476">
              <w:rPr>
                <w:rFonts w:ascii="Lato" w:hAnsi="Lato" w:cs="Arial"/>
                <w:color w:val="000000" w:themeColor="text1"/>
                <w:sz w:val="20"/>
                <w:szCs w:val="20"/>
              </w:rPr>
              <w:t xml:space="preserve">firm </w:t>
            </w:r>
            <w:r w:rsidR="005073CA">
              <w:rPr>
                <w:rFonts w:ascii="Lato" w:hAnsi="Lato" w:cs="Arial"/>
                <w:color w:val="000000" w:themeColor="text1"/>
                <w:sz w:val="20"/>
                <w:szCs w:val="20"/>
              </w:rPr>
              <w:t>and/or Individual Consultant</w:t>
            </w:r>
            <w:r w:rsidR="005073CA" w:rsidRPr="00D15476">
              <w:rPr>
                <w:rFonts w:ascii="Lato" w:hAnsi="Lato" w:cs="Arial"/>
                <w:color w:val="000000" w:themeColor="text1"/>
                <w:sz w:val="20"/>
                <w:szCs w:val="20"/>
              </w:rPr>
              <w:t xml:space="preserve"> </w:t>
            </w:r>
            <w:r w:rsidRPr="00D15476">
              <w:rPr>
                <w:rFonts w:ascii="Lato" w:hAnsi="Lato" w:cs="Arial"/>
                <w:color w:val="000000" w:themeColor="text1"/>
                <w:sz w:val="20"/>
                <w:szCs w:val="20"/>
              </w:rPr>
              <w:t xml:space="preserve">will comply with standard of Save the Children Security procedures, including the completion of SCI online security training (applicable to international consultants) prior to travel to Somalia.  </w:t>
            </w:r>
          </w:p>
        </w:tc>
      </w:tr>
      <w:tr w:rsidR="00F75B79" w:rsidRPr="00D15476" w14:paraId="523EA49F" w14:textId="77777777" w:rsidTr="00B12BFE">
        <w:trPr>
          <w:trHeight w:val="690"/>
        </w:trPr>
        <w:tc>
          <w:tcPr>
            <w:tcW w:w="321" w:type="dxa"/>
            <w:shd w:val="clear" w:color="auto" w:fill="F2F2F2"/>
          </w:tcPr>
          <w:p w14:paraId="22AC09BB" w14:textId="77777777" w:rsidR="00F75B79" w:rsidRPr="00D15476" w:rsidRDefault="00F75B79" w:rsidP="005E51AC">
            <w:pPr>
              <w:spacing w:after="0" w:line="240" w:lineRule="auto"/>
              <w:ind w:hanging="128"/>
              <w:jc w:val="center"/>
              <w:rPr>
                <w:rFonts w:ascii="Lato" w:hAnsi="Lato" w:cs="Arial"/>
                <w:color w:val="000000" w:themeColor="text1"/>
                <w:sz w:val="20"/>
                <w:szCs w:val="20"/>
                <w:highlight w:val="yellow"/>
              </w:rPr>
            </w:pPr>
            <w:r w:rsidRPr="00D15476">
              <w:rPr>
                <w:rFonts w:ascii="Lato" w:hAnsi="Lato" w:cs="Arial"/>
                <w:color w:val="000000" w:themeColor="text1"/>
                <w:sz w:val="20"/>
                <w:szCs w:val="20"/>
              </w:rPr>
              <w:t>9</w:t>
            </w:r>
          </w:p>
        </w:tc>
        <w:tc>
          <w:tcPr>
            <w:tcW w:w="2622" w:type="dxa"/>
            <w:shd w:val="clear" w:color="auto" w:fill="F2F2F2"/>
          </w:tcPr>
          <w:p w14:paraId="3CFE1184" w14:textId="594A764C" w:rsidR="00F75B79" w:rsidRPr="00886058" w:rsidRDefault="00F75B79" w:rsidP="00F75B79">
            <w:pPr>
              <w:spacing w:after="0" w:line="240" w:lineRule="auto"/>
              <w:jc w:val="both"/>
              <w:rPr>
                <w:rFonts w:ascii="Lato" w:hAnsi="Lato" w:cs="Arial"/>
                <w:b/>
                <w:color w:val="000000" w:themeColor="text1"/>
                <w:sz w:val="20"/>
                <w:szCs w:val="20"/>
              </w:rPr>
            </w:pPr>
            <w:r w:rsidRPr="00886058">
              <w:rPr>
                <w:rFonts w:ascii="Lato" w:hAnsi="Lato" w:cs="Arial"/>
                <w:b/>
                <w:color w:val="000000" w:themeColor="text1"/>
                <w:sz w:val="20"/>
                <w:szCs w:val="20"/>
              </w:rPr>
              <w:t>Professional quality and Expertise</w:t>
            </w:r>
          </w:p>
        </w:tc>
        <w:tc>
          <w:tcPr>
            <w:tcW w:w="7112" w:type="dxa"/>
            <w:gridSpan w:val="2"/>
          </w:tcPr>
          <w:p w14:paraId="691E3497" w14:textId="1C0D833A" w:rsidR="000F4135" w:rsidRPr="003C765B" w:rsidRDefault="00F75B79" w:rsidP="003C765B">
            <w:pPr>
              <w:autoSpaceDE w:val="0"/>
              <w:autoSpaceDN w:val="0"/>
              <w:adjustRightInd w:val="0"/>
              <w:jc w:val="both"/>
              <w:rPr>
                <w:rFonts w:ascii="Lato" w:hAnsi="Lato" w:cstheme="minorHAnsi"/>
                <w:sz w:val="20"/>
                <w:szCs w:val="20"/>
              </w:rPr>
            </w:pPr>
            <w:r w:rsidRPr="003C765B">
              <w:rPr>
                <w:rFonts w:ascii="Lato" w:hAnsi="Lato" w:cstheme="minorHAnsi"/>
                <w:sz w:val="20"/>
                <w:szCs w:val="20"/>
              </w:rPr>
              <w:t>The following are the minimum requirements for the Consultant Firm</w:t>
            </w:r>
            <w:r w:rsidR="00A10C47" w:rsidRPr="003C765B">
              <w:rPr>
                <w:rFonts w:ascii="Lato" w:hAnsi="Lato" w:cstheme="minorHAnsi"/>
                <w:sz w:val="20"/>
                <w:szCs w:val="20"/>
              </w:rPr>
              <w:t xml:space="preserve"> </w:t>
            </w:r>
            <w:r w:rsidRPr="003C765B">
              <w:rPr>
                <w:rFonts w:ascii="Lato" w:hAnsi="Lato" w:cstheme="minorHAnsi"/>
                <w:sz w:val="20"/>
                <w:szCs w:val="20"/>
              </w:rPr>
              <w:t>to be considered for carrying out the assignment.</w:t>
            </w:r>
          </w:p>
          <w:p w14:paraId="472760DC" w14:textId="77777777" w:rsidR="000F4135" w:rsidRPr="003C765B" w:rsidRDefault="000F4135" w:rsidP="003C765B">
            <w:pPr>
              <w:pStyle w:val="ListParagraph"/>
              <w:numPr>
                <w:ilvl w:val="0"/>
                <w:numId w:val="10"/>
              </w:numPr>
              <w:autoSpaceDE w:val="0"/>
              <w:autoSpaceDN w:val="0"/>
              <w:adjustRightInd w:val="0"/>
              <w:spacing w:line="276" w:lineRule="auto"/>
              <w:jc w:val="both"/>
              <w:rPr>
                <w:rFonts w:ascii="Lato" w:hAnsi="Lato" w:cstheme="minorHAnsi"/>
                <w:sz w:val="20"/>
                <w:szCs w:val="20"/>
              </w:rPr>
            </w:pPr>
            <w:r w:rsidRPr="003C765B">
              <w:rPr>
                <w:rFonts w:ascii="Lato" w:hAnsi="Lato" w:cstheme="minorHAnsi"/>
                <w:sz w:val="20"/>
                <w:szCs w:val="20"/>
              </w:rPr>
              <w:t xml:space="preserve">Advanced degree (master’s or equivalent) in Political Science, Public Policy, Law, Governance, International Development, Economics, Human Rights, or related field. </w:t>
            </w:r>
          </w:p>
          <w:p w14:paraId="4CBBB894" w14:textId="77777777" w:rsidR="000F4135" w:rsidRPr="003C765B" w:rsidRDefault="000F4135" w:rsidP="003C765B">
            <w:pPr>
              <w:pStyle w:val="ListParagraph"/>
              <w:numPr>
                <w:ilvl w:val="0"/>
                <w:numId w:val="10"/>
              </w:numPr>
              <w:autoSpaceDE w:val="0"/>
              <w:autoSpaceDN w:val="0"/>
              <w:adjustRightInd w:val="0"/>
              <w:spacing w:line="276" w:lineRule="auto"/>
              <w:jc w:val="both"/>
              <w:rPr>
                <w:rFonts w:ascii="Lato" w:hAnsi="Lato" w:cstheme="minorHAnsi"/>
                <w:sz w:val="20"/>
                <w:szCs w:val="20"/>
              </w:rPr>
            </w:pPr>
            <w:r w:rsidRPr="003C765B">
              <w:rPr>
                <w:rFonts w:ascii="Lato" w:hAnsi="Lato" w:cstheme="minorHAnsi"/>
                <w:sz w:val="20"/>
                <w:szCs w:val="20"/>
              </w:rPr>
              <w:t xml:space="preserve">Minimum of 7–10 years of professional experience in Political Economy Analysis, governance, institutional analysis, or related research in fragile or conflict-affected settings. </w:t>
            </w:r>
          </w:p>
          <w:p w14:paraId="58A4EBBE" w14:textId="77777777" w:rsidR="000F4135" w:rsidRPr="003C765B" w:rsidRDefault="000F4135" w:rsidP="003C765B">
            <w:pPr>
              <w:pStyle w:val="ListParagraph"/>
              <w:numPr>
                <w:ilvl w:val="0"/>
                <w:numId w:val="10"/>
              </w:numPr>
              <w:autoSpaceDE w:val="0"/>
              <w:autoSpaceDN w:val="0"/>
              <w:adjustRightInd w:val="0"/>
              <w:spacing w:line="276" w:lineRule="auto"/>
              <w:jc w:val="both"/>
              <w:rPr>
                <w:rFonts w:ascii="Lato" w:hAnsi="Lato" w:cstheme="minorHAnsi"/>
                <w:sz w:val="20"/>
                <w:szCs w:val="20"/>
              </w:rPr>
            </w:pPr>
            <w:r w:rsidRPr="003C765B">
              <w:rPr>
                <w:rFonts w:ascii="Lato" w:hAnsi="Lato" w:cstheme="minorHAnsi"/>
                <w:sz w:val="20"/>
                <w:szCs w:val="20"/>
              </w:rPr>
              <w:t xml:space="preserve">Demonstrated experience in Somalia or similar contexts, with strong understanding of political, institutional, and socio-cultural dynamics. </w:t>
            </w:r>
          </w:p>
          <w:p w14:paraId="49F4BA08" w14:textId="77777777" w:rsidR="000F4135" w:rsidRPr="003C765B" w:rsidRDefault="000F4135" w:rsidP="003C765B">
            <w:pPr>
              <w:pStyle w:val="ListParagraph"/>
              <w:numPr>
                <w:ilvl w:val="0"/>
                <w:numId w:val="10"/>
              </w:numPr>
              <w:autoSpaceDE w:val="0"/>
              <w:autoSpaceDN w:val="0"/>
              <w:adjustRightInd w:val="0"/>
              <w:spacing w:line="276" w:lineRule="auto"/>
              <w:jc w:val="both"/>
              <w:rPr>
                <w:rFonts w:ascii="Lato" w:hAnsi="Lato" w:cstheme="minorHAnsi"/>
                <w:sz w:val="20"/>
                <w:szCs w:val="20"/>
              </w:rPr>
            </w:pPr>
            <w:r w:rsidRPr="003C765B">
              <w:rPr>
                <w:rFonts w:ascii="Lato" w:hAnsi="Lato" w:cstheme="minorHAnsi"/>
                <w:sz w:val="20"/>
                <w:szCs w:val="20"/>
              </w:rPr>
              <w:t xml:space="preserve"> Proven experience in child rights, governance, public finance, social policy, gender equality, disability inclusion, or related thematic areas. </w:t>
            </w:r>
          </w:p>
          <w:p w14:paraId="4C918EDC" w14:textId="77777777" w:rsidR="000F4135" w:rsidRPr="003C765B" w:rsidRDefault="000F4135" w:rsidP="003C765B">
            <w:pPr>
              <w:pStyle w:val="ListParagraph"/>
              <w:numPr>
                <w:ilvl w:val="0"/>
                <w:numId w:val="10"/>
              </w:numPr>
              <w:autoSpaceDE w:val="0"/>
              <w:autoSpaceDN w:val="0"/>
              <w:adjustRightInd w:val="0"/>
              <w:spacing w:line="276" w:lineRule="auto"/>
              <w:jc w:val="both"/>
              <w:rPr>
                <w:rFonts w:ascii="Lato" w:hAnsi="Lato" w:cstheme="minorHAnsi"/>
                <w:sz w:val="20"/>
                <w:szCs w:val="20"/>
              </w:rPr>
            </w:pPr>
            <w:r w:rsidRPr="003C765B">
              <w:rPr>
                <w:rFonts w:ascii="Lato" w:hAnsi="Lato" w:cstheme="minorHAnsi"/>
                <w:sz w:val="20"/>
                <w:szCs w:val="20"/>
              </w:rPr>
              <w:t xml:space="preserve">Strong experience using mixed-methods research approaches (desk review, KIIs, FGDs, stakeholder mapping, and policy analysis). </w:t>
            </w:r>
          </w:p>
          <w:p w14:paraId="0722727B" w14:textId="77777777" w:rsidR="000F4135" w:rsidRPr="003C765B" w:rsidRDefault="000F4135" w:rsidP="003C765B">
            <w:pPr>
              <w:pStyle w:val="ListParagraph"/>
              <w:numPr>
                <w:ilvl w:val="0"/>
                <w:numId w:val="10"/>
              </w:numPr>
              <w:autoSpaceDE w:val="0"/>
              <w:autoSpaceDN w:val="0"/>
              <w:adjustRightInd w:val="0"/>
              <w:spacing w:line="276" w:lineRule="auto"/>
              <w:jc w:val="both"/>
              <w:rPr>
                <w:rFonts w:ascii="Lato" w:hAnsi="Lato" w:cstheme="minorHAnsi"/>
                <w:sz w:val="20"/>
                <w:szCs w:val="20"/>
              </w:rPr>
            </w:pPr>
            <w:r w:rsidRPr="003C765B">
              <w:rPr>
                <w:rFonts w:ascii="Lato" w:hAnsi="Lato" w:cstheme="minorHAnsi"/>
                <w:sz w:val="20"/>
                <w:szCs w:val="20"/>
              </w:rPr>
              <w:t xml:space="preserve">Strong analytical, facilitation, and high-quality report-writing skills with ability to produce policy-oriented outputs. </w:t>
            </w:r>
          </w:p>
          <w:p w14:paraId="4F8E8304" w14:textId="77777777" w:rsidR="000F4135" w:rsidRPr="003C765B" w:rsidRDefault="000F4135" w:rsidP="003C765B">
            <w:pPr>
              <w:pStyle w:val="ListParagraph"/>
              <w:numPr>
                <w:ilvl w:val="0"/>
                <w:numId w:val="10"/>
              </w:numPr>
              <w:autoSpaceDE w:val="0"/>
              <w:autoSpaceDN w:val="0"/>
              <w:adjustRightInd w:val="0"/>
              <w:spacing w:line="276" w:lineRule="auto"/>
              <w:jc w:val="both"/>
              <w:rPr>
                <w:rFonts w:ascii="Lato" w:hAnsi="Lato" w:cstheme="minorHAnsi"/>
                <w:sz w:val="20"/>
                <w:szCs w:val="20"/>
              </w:rPr>
            </w:pPr>
            <w:r w:rsidRPr="003C765B">
              <w:rPr>
                <w:rFonts w:ascii="Lato" w:hAnsi="Lato" w:cstheme="minorHAnsi"/>
                <w:sz w:val="20"/>
                <w:szCs w:val="20"/>
              </w:rPr>
              <w:t xml:space="preserve">Experience engaging government institutions, parliament, civil society, donors, UN agencies, and other key stakeholders. </w:t>
            </w:r>
          </w:p>
          <w:p w14:paraId="29452259" w14:textId="77777777" w:rsidR="000F4135" w:rsidRPr="003C765B" w:rsidRDefault="000F4135" w:rsidP="003C765B">
            <w:pPr>
              <w:pStyle w:val="ListParagraph"/>
              <w:numPr>
                <w:ilvl w:val="0"/>
                <w:numId w:val="10"/>
              </w:numPr>
              <w:autoSpaceDE w:val="0"/>
              <w:autoSpaceDN w:val="0"/>
              <w:adjustRightInd w:val="0"/>
              <w:spacing w:line="276" w:lineRule="auto"/>
              <w:jc w:val="both"/>
              <w:rPr>
                <w:rFonts w:ascii="Lato" w:hAnsi="Lato" w:cstheme="minorHAnsi"/>
                <w:sz w:val="20"/>
                <w:szCs w:val="20"/>
              </w:rPr>
            </w:pPr>
            <w:r w:rsidRPr="003C765B">
              <w:rPr>
                <w:rFonts w:ascii="Lato" w:hAnsi="Lato" w:cstheme="minorHAnsi"/>
                <w:sz w:val="20"/>
                <w:szCs w:val="20"/>
              </w:rPr>
              <w:t xml:space="preserve"> Knowledge of child rights frameworks (CRC, ACRWC, SDGs) and adherence to safeguarding and ethical research standards. </w:t>
            </w:r>
          </w:p>
          <w:p w14:paraId="5C436767" w14:textId="77777777" w:rsidR="000F4135" w:rsidRPr="003C765B" w:rsidRDefault="000F4135" w:rsidP="003C765B">
            <w:pPr>
              <w:pStyle w:val="ListParagraph"/>
              <w:numPr>
                <w:ilvl w:val="0"/>
                <w:numId w:val="10"/>
              </w:numPr>
              <w:autoSpaceDE w:val="0"/>
              <w:autoSpaceDN w:val="0"/>
              <w:adjustRightInd w:val="0"/>
              <w:spacing w:line="276" w:lineRule="auto"/>
              <w:jc w:val="both"/>
              <w:rPr>
                <w:rFonts w:ascii="Lato" w:hAnsi="Lato" w:cstheme="minorHAnsi"/>
                <w:sz w:val="20"/>
                <w:szCs w:val="20"/>
              </w:rPr>
            </w:pPr>
            <w:r w:rsidRPr="003C765B">
              <w:rPr>
                <w:rFonts w:ascii="Lato" w:hAnsi="Lato" w:cstheme="minorHAnsi"/>
                <w:sz w:val="20"/>
                <w:szCs w:val="20"/>
              </w:rPr>
              <w:t xml:space="preserve"> Ability to work in politically sensitive environments and deliver within tight timelines. </w:t>
            </w:r>
          </w:p>
          <w:p w14:paraId="50F1405A" w14:textId="1744CF25" w:rsidR="000F4135" w:rsidRPr="003C765B" w:rsidRDefault="000F4135" w:rsidP="000F4135">
            <w:pPr>
              <w:pStyle w:val="ListParagraph"/>
              <w:numPr>
                <w:ilvl w:val="0"/>
                <w:numId w:val="10"/>
              </w:numPr>
              <w:autoSpaceDE w:val="0"/>
              <w:autoSpaceDN w:val="0"/>
              <w:adjustRightInd w:val="0"/>
              <w:spacing w:line="276" w:lineRule="auto"/>
              <w:jc w:val="both"/>
              <w:rPr>
                <w:rFonts w:ascii="Lato" w:hAnsi="Lato" w:cstheme="minorHAnsi"/>
                <w:sz w:val="20"/>
                <w:szCs w:val="20"/>
              </w:rPr>
            </w:pPr>
            <w:r w:rsidRPr="003C765B">
              <w:rPr>
                <w:rFonts w:ascii="Lato" w:hAnsi="Lato" w:cstheme="minorHAnsi"/>
                <w:sz w:val="20"/>
                <w:szCs w:val="20"/>
              </w:rPr>
              <w:lastRenderedPageBreak/>
              <w:t>Strong English communication skills: Somali language proficiency and/or access to local research capacity is an advantage.</w:t>
            </w:r>
          </w:p>
        </w:tc>
      </w:tr>
      <w:tr w:rsidR="00551AF4" w:rsidRPr="00D15476" w14:paraId="3C337307" w14:textId="77777777" w:rsidTr="005E51AC">
        <w:trPr>
          <w:trHeight w:hRule="exact" w:val="614"/>
        </w:trPr>
        <w:tc>
          <w:tcPr>
            <w:tcW w:w="321" w:type="dxa"/>
            <w:tcBorders>
              <w:bottom w:val="single" w:sz="4" w:space="0" w:color="auto"/>
            </w:tcBorders>
            <w:shd w:val="clear" w:color="auto" w:fill="F2F2F2"/>
          </w:tcPr>
          <w:p w14:paraId="66D984AB" w14:textId="77777777" w:rsidR="00551AF4" w:rsidRPr="00D15476" w:rsidRDefault="00551AF4" w:rsidP="005E51AC">
            <w:pPr>
              <w:spacing w:after="0" w:line="240" w:lineRule="auto"/>
              <w:ind w:hanging="128"/>
              <w:rPr>
                <w:rFonts w:ascii="Lato" w:hAnsi="Lato" w:cs="Arial"/>
                <w:color w:val="000000" w:themeColor="text1"/>
                <w:sz w:val="20"/>
                <w:szCs w:val="20"/>
              </w:rPr>
            </w:pPr>
          </w:p>
        </w:tc>
        <w:tc>
          <w:tcPr>
            <w:tcW w:w="9734" w:type="dxa"/>
            <w:gridSpan w:val="3"/>
            <w:tcBorders>
              <w:bottom w:val="single" w:sz="4" w:space="0" w:color="auto"/>
            </w:tcBorders>
            <w:shd w:val="clear" w:color="auto" w:fill="F2F2F2"/>
          </w:tcPr>
          <w:p w14:paraId="756852CA" w14:textId="77777777" w:rsidR="00551AF4" w:rsidRPr="00D15476" w:rsidRDefault="00551AF4" w:rsidP="00551AF4">
            <w:pPr>
              <w:spacing w:after="0" w:line="240" w:lineRule="auto"/>
              <w:jc w:val="both"/>
              <w:rPr>
                <w:rFonts w:ascii="Lato" w:hAnsi="Lato" w:cs="Arial"/>
                <w:b/>
                <w:color w:val="000000" w:themeColor="text1"/>
                <w:sz w:val="20"/>
                <w:szCs w:val="20"/>
              </w:rPr>
            </w:pPr>
            <w:r w:rsidRPr="00D15476">
              <w:rPr>
                <w:rFonts w:ascii="Lato" w:hAnsi="Lato" w:cs="Arial"/>
                <w:b/>
                <w:color w:val="000000" w:themeColor="text1"/>
                <w:sz w:val="20"/>
                <w:szCs w:val="20"/>
              </w:rPr>
              <w:t>11</w:t>
            </w:r>
            <w:r w:rsidRPr="00D15476">
              <w:rPr>
                <w:rFonts w:ascii="Lato" w:hAnsi="Lato" w:cs="Arial"/>
                <w:b/>
                <w:color w:val="000000" w:themeColor="text1"/>
                <w:sz w:val="20"/>
                <w:szCs w:val="20"/>
              </w:rPr>
              <w:tab/>
              <w:t>EVALUATION CRITERIA</w:t>
            </w:r>
          </w:p>
          <w:p w14:paraId="02CE377D" w14:textId="2A4C5777" w:rsidR="00551AF4" w:rsidRPr="000C1B2D" w:rsidRDefault="00551AF4" w:rsidP="00551AF4">
            <w:pPr>
              <w:spacing w:after="0" w:line="240" w:lineRule="auto"/>
              <w:jc w:val="both"/>
              <w:rPr>
                <w:rFonts w:ascii="Lato" w:hAnsi="Lato" w:cs="Arial"/>
                <w:b/>
                <w:color w:val="000000" w:themeColor="text1"/>
                <w:sz w:val="20"/>
                <w:szCs w:val="20"/>
              </w:rPr>
            </w:pPr>
            <w:r w:rsidRPr="000C1B2D">
              <w:rPr>
                <w:rFonts w:ascii="Lato" w:hAnsi="Lato" w:cs="Arial"/>
                <w:b/>
                <w:color w:val="000000" w:themeColor="text1"/>
                <w:sz w:val="20"/>
                <w:szCs w:val="20"/>
              </w:rPr>
              <w:t>The proposals submitted by consulting companies will be evaluated based on the following criteria:</w:t>
            </w:r>
          </w:p>
        </w:tc>
      </w:tr>
      <w:tr w:rsidR="00551AF4" w:rsidRPr="00D15476" w14:paraId="0D2F1921" w14:textId="77777777" w:rsidTr="005E51AC">
        <w:trPr>
          <w:trHeight w:hRule="exact" w:val="525"/>
        </w:trPr>
        <w:tc>
          <w:tcPr>
            <w:tcW w:w="321" w:type="dxa"/>
            <w:tcBorders>
              <w:bottom w:val="single" w:sz="4" w:space="0" w:color="auto"/>
            </w:tcBorders>
            <w:shd w:val="clear" w:color="auto" w:fill="F2F2F2"/>
          </w:tcPr>
          <w:p w14:paraId="2C6416E9" w14:textId="77777777" w:rsidR="00551AF4" w:rsidRPr="00D15476" w:rsidRDefault="00551AF4" w:rsidP="005E51AC">
            <w:pPr>
              <w:spacing w:after="0" w:line="240" w:lineRule="auto"/>
              <w:ind w:hanging="128"/>
              <w:rPr>
                <w:rFonts w:ascii="Lato" w:hAnsi="Lato" w:cs="Arial"/>
                <w:color w:val="000000" w:themeColor="text1"/>
                <w:sz w:val="20"/>
                <w:szCs w:val="20"/>
              </w:rPr>
            </w:pPr>
          </w:p>
        </w:tc>
        <w:tc>
          <w:tcPr>
            <w:tcW w:w="7212" w:type="dxa"/>
            <w:gridSpan w:val="2"/>
            <w:tcBorders>
              <w:bottom w:val="single" w:sz="4" w:space="0" w:color="auto"/>
            </w:tcBorders>
            <w:shd w:val="clear" w:color="auto" w:fill="F2F2F2"/>
          </w:tcPr>
          <w:p w14:paraId="16CFA677" w14:textId="717C570B" w:rsidR="00551AF4" w:rsidRPr="00C91FF8" w:rsidRDefault="00551AF4" w:rsidP="00551AF4">
            <w:pPr>
              <w:spacing w:after="0" w:line="240" w:lineRule="auto"/>
              <w:rPr>
                <w:rFonts w:ascii="Lato" w:hAnsi="Lato" w:cs="Arial"/>
                <w:b/>
                <w:color w:val="000000" w:themeColor="text1"/>
                <w:sz w:val="28"/>
                <w:szCs w:val="28"/>
              </w:rPr>
            </w:pPr>
            <w:r w:rsidRPr="00C91FF8">
              <w:rPr>
                <w:rFonts w:ascii="Lato" w:hAnsi="Lato" w:cs="Arial"/>
                <w:b/>
                <w:color w:val="000000" w:themeColor="text1"/>
                <w:sz w:val="28"/>
                <w:szCs w:val="28"/>
              </w:rPr>
              <w:t>Essential Criteria</w:t>
            </w:r>
          </w:p>
        </w:tc>
        <w:tc>
          <w:tcPr>
            <w:tcW w:w="2522" w:type="dxa"/>
            <w:tcBorders>
              <w:bottom w:val="single" w:sz="4" w:space="0" w:color="auto"/>
            </w:tcBorders>
          </w:tcPr>
          <w:p w14:paraId="3731D116" w14:textId="064CB7F1" w:rsidR="00551AF4" w:rsidRPr="00C91FF8" w:rsidRDefault="00551AF4" w:rsidP="00551AF4">
            <w:pPr>
              <w:spacing w:after="0" w:line="240" w:lineRule="auto"/>
              <w:jc w:val="center"/>
              <w:rPr>
                <w:rFonts w:ascii="Lato" w:hAnsi="Lato" w:cs="Arial"/>
                <w:b/>
                <w:color w:val="000000" w:themeColor="text1"/>
                <w:sz w:val="28"/>
                <w:szCs w:val="28"/>
              </w:rPr>
            </w:pPr>
            <w:r w:rsidRPr="00C91FF8">
              <w:rPr>
                <w:rFonts w:ascii="Lato" w:hAnsi="Lato" w:cs="Arial"/>
                <w:b/>
                <w:color w:val="000000" w:themeColor="text1"/>
                <w:sz w:val="28"/>
                <w:szCs w:val="28"/>
              </w:rPr>
              <w:t>Pass/Fail</w:t>
            </w:r>
          </w:p>
        </w:tc>
      </w:tr>
      <w:tr w:rsidR="00551AF4" w:rsidRPr="00D15476" w14:paraId="0C6F8F13" w14:textId="77777777" w:rsidTr="00FA473B">
        <w:trPr>
          <w:trHeight w:hRule="exact" w:val="1431"/>
        </w:trPr>
        <w:tc>
          <w:tcPr>
            <w:tcW w:w="321" w:type="dxa"/>
            <w:tcBorders>
              <w:bottom w:val="single" w:sz="4" w:space="0" w:color="auto"/>
            </w:tcBorders>
            <w:shd w:val="clear" w:color="auto" w:fill="F2F2F2"/>
          </w:tcPr>
          <w:p w14:paraId="52DFB579" w14:textId="72D37126" w:rsidR="00551AF4" w:rsidRPr="00D15476" w:rsidRDefault="00551AF4"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1</w:t>
            </w:r>
          </w:p>
        </w:tc>
        <w:tc>
          <w:tcPr>
            <w:tcW w:w="7212" w:type="dxa"/>
            <w:gridSpan w:val="2"/>
            <w:tcBorders>
              <w:bottom w:val="single" w:sz="4" w:space="0" w:color="auto"/>
            </w:tcBorders>
            <w:shd w:val="clear" w:color="auto" w:fill="F2F2F2"/>
          </w:tcPr>
          <w:p w14:paraId="44A9D872" w14:textId="032A33C8" w:rsidR="00551AF4" w:rsidRPr="00EE6A61" w:rsidRDefault="00551AF4" w:rsidP="00551AF4">
            <w:pPr>
              <w:spacing w:after="0" w:line="240" w:lineRule="auto"/>
              <w:jc w:val="both"/>
              <w:rPr>
                <w:rFonts w:ascii="Lato" w:hAnsi="Lato" w:cs="Arial"/>
                <w:bCs/>
                <w:color w:val="000000" w:themeColor="text1"/>
              </w:rPr>
            </w:pPr>
            <w:r w:rsidRPr="00EE6A61">
              <w:rPr>
                <w:rFonts w:ascii="Lato" w:hAnsi="Lato" w:cs="Arial"/>
                <w:bCs/>
                <w:color w:val="000000" w:themeColor="text1"/>
              </w:rPr>
              <w:t>The Bidder and its staff agree and Sign to comply with SCI policies embedded below at this ITB. The Bidder is to download below listed items, read, understand and sign off appropriate section in below.</w:t>
            </w:r>
          </w:p>
          <w:p w14:paraId="42E16468" w14:textId="77777777" w:rsidR="00551AF4" w:rsidRPr="00EE6A61" w:rsidRDefault="00551AF4" w:rsidP="00551AF4">
            <w:pPr>
              <w:spacing w:after="0" w:line="240" w:lineRule="auto"/>
              <w:jc w:val="both"/>
              <w:rPr>
                <w:rFonts w:ascii="Lato" w:hAnsi="Lato" w:cs="Arial"/>
                <w:bCs/>
                <w:color w:val="000000" w:themeColor="text1"/>
              </w:rPr>
            </w:pPr>
            <w:r w:rsidRPr="00EE6A61">
              <w:rPr>
                <w:rFonts w:ascii="Lato" w:hAnsi="Lato" w:cs="Arial"/>
                <w:bCs/>
                <w:color w:val="000000" w:themeColor="text1"/>
              </w:rPr>
              <w:t>a) Terms &amp; Conditions of Bidding</w:t>
            </w:r>
          </w:p>
          <w:p w14:paraId="38CAB974" w14:textId="2F90D658" w:rsidR="00551AF4" w:rsidRPr="00EE6A61" w:rsidRDefault="00551AF4" w:rsidP="00551AF4">
            <w:pPr>
              <w:spacing w:after="0" w:line="240" w:lineRule="auto"/>
              <w:jc w:val="both"/>
              <w:rPr>
                <w:rFonts w:ascii="Lato" w:hAnsi="Lato" w:cs="Arial"/>
                <w:bCs/>
                <w:color w:val="000000" w:themeColor="text1"/>
              </w:rPr>
            </w:pPr>
            <w:r w:rsidRPr="00EE6A61">
              <w:rPr>
                <w:rFonts w:ascii="Lato" w:hAnsi="Lato" w:cs="Arial"/>
                <w:bCs/>
                <w:color w:val="000000" w:themeColor="text1"/>
              </w:rPr>
              <w:t>b) Supplier Sustainability Policy and the included mandatory policies</w:t>
            </w:r>
          </w:p>
          <w:p w14:paraId="6B41C0FD" w14:textId="1D728EBC" w:rsidR="00551AF4" w:rsidRPr="00EE6A61" w:rsidRDefault="00551AF4" w:rsidP="00551AF4">
            <w:pPr>
              <w:spacing w:after="0" w:line="240" w:lineRule="auto"/>
              <w:jc w:val="both"/>
              <w:rPr>
                <w:rFonts w:ascii="Lato" w:hAnsi="Lato" w:cs="Arial"/>
                <w:bCs/>
                <w:color w:val="000000" w:themeColor="text1"/>
              </w:rPr>
            </w:pPr>
          </w:p>
        </w:tc>
        <w:tc>
          <w:tcPr>
            <w:tcW w:w="2522" w:type="dxa"/>
            <w:tcBorders>
              <w:bottom w:val="single" w:sz="4" w:space="0" w:color="auto"/>
            </w:tcBorders>
            <w:vAlign w:val="center"/>
          </w:tcPr>
          <w:p w14:paraId="5495A88A" w14:textId="627BB1A1" w:rsidR="00551AF4" w:rsidRPr="00C91FF8" w:rsidRDefault="00551AF4" w:rsidP="00551AF4">
            <w:pPr>
              <w:spacing w:after="0" w:line="240" w:lineRule="auto"/>
              <w:jc w:val="center"/>
              <w:rPr>
                <w:rFonts w:ascii="Lato" w:hAnsi="Lato" w:cs="Arial"/>
                <w:b/>
                <w:color w:val="000000" w:themeColor="text1"/>
                <w:sz w:val="24"/>
                <w:szCs w:val="24"/>
              </w:rPr>
            </w:pPr>
            <w:r w:rsidRPr="00C91FF8">
              <w:rPr>
                <w:rFonts w:ascii="Lato" w:hAnsi="Lato" w:cs="Arial"/>
                <w:b/>
                <w:color w:val="000000" w:themeColor="text1"/>
                <w:sz w:val="24"/>
                <w:szCs w:val="24"/>
              </w:rPr>
              <w:t>Pass/Fail</w:t>
            </w:r>
          </w:p>
        </w:tc>
      </w:tr>
      <w:tr w:rsidR="00551AF4" w:rsidRPr="00D15476" w14:paraId="107ABA1A" w14:textId="77777777" w:rsidTr="00F91891">
        <w:trPr>
          <w:trHeight w:hRule="exact" w:val="1135"/>
        </w:trPr>
        <w:tc>
          <w:tcPr>
            <w:tcW w:w="321" w:type="dxa"/>
            <w:tcBorders>
              <w:bottom w:val="single" w:sz="4" w:space="0" w:color="auto"/>
            </w:tcBorders>
            <w:shd w:val="clear" w:color="auto" w:fill="F2F2F2"/>
          </w:tcPr>
          <w:p w14:paraId="76E6FB86" w14:textId="7B49AD51" w:rsidR="00551AF4" w:rsidRPr="00D15476" w:rsidRDefault="00551AF4"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3</w:t>
            </w:r>
          </w:p>
        </w:tc>
        <w:tc>
          <w:tcPr>
            <w:tcW w:w="7212" w:type="dxa"/>
            <w:gridSpan w:val="2"/>
            <w:tcBorders>
              <w:bottom w:val="single" w:sz="4" w:space="0" w:color="auto"/>
            </w:tcBorders>
            <w:shd w:val="clear" w:color="auto" w:fill="F2F2F2"/>
          </w:tcPr>
          <w:p w14:paraId="5C934FF8" w14:textId="77777777" w:rsidR="00551AF4" w:rsidRDefault="00551AF4" w:rsidP="00551AF4">
            <w:pPr>
              <w:spacing w:after="0" w:line="240" w:lineRule="auto"/>
              <w:jc w:val="both"/>
              <w:rPr>
                <w:rFonts w:ascii="Lato" w:hAnsi="Lato" w:cs="Arial"/>
                <w:color w:val="000000" w:themeColor="text1"/>
              </w:rPr>
            </w:pPr>
            <w:r w:rsidRPr="00EE6A61">
              <w:rPr>
                <w:rFonts w:ascii="Lato" w:hAnsi="Lato" w:cs="Arial"/>
                <w:color w:val="000000" w:themeColor="text1"/>
              </w:rPr>
              <w:t xml:space="preserve">A valid Certificate of Registration from the relevant </w:t>
            </w:r>
            <w:r w:rsidR="00C31189">
              <w:rPr>
                <w:rFonts w:ascii="Lato" w:hAnsi="Lato" w:cs="Arial"/>
                <w:color w:val="000000" w:themeColor="text1"/>
              </w:rPr>
              <w:t>M</w:t>
            </w:r>
            <w:r w:rsidRPr="00EE6A61">
              <w:rPr>
                <w:rFonts w:ascii="Lato" w:hAnsi="Lato" w:cs="Arial"/>
                <w:color w:val="000000" w:themeColor="text1"/>
              </w:rPr>
              <w:t xml:space="preserve">inistry of </w:t>
            </w:r>
            <w:r w:rsidR="00C31189">
              <w:rPr>
                <w:rFonts w:ascii="Lato" w:hAnsi="Lato" w:cs="Arial"/>
                <w:color w:val="000000" w:themeColor="text1"/>
              </w:rPr>
              <w:t>C</w:t>
            </w:r>
            <w:r w:rsidRPr="00EE6A61">
              <w:rPr>
                <w:rFonts w:ascii="Lato" w:hAnsi="Lato" w:cs="Arial"/>
                <w:color w:val="000000" w:themeColor="text1"/>
              </w:rPr>
              <w:t>ommerce</w:t>
            </w:r>
            <w:r w:rsidR="002F6681">
              <w:rPr>
                <w:rFonts w:ascii="Lato" w:hAnsi="Lato" w:cs="Arial"/>
                <w:color w:val="000000" w:themeColor="text1"/>
              </w:rPr>
              <w:t xml:space="preserve"> </w:t>
            </w:r>
            <w:r w:rsidR="00831A91">
              <w:rPr>
                <w:rFonts w:ascii="Lato" w:hAnsi="Lato" w:cs="Arial"/>
                <w:color w:val="000000" w:themeColor="text1"/>
              </w:rPr>
              <w:t>from Ministry Of commerce of Federal Republic of Somalia</w:t>
            </w:r>
            <w:r w:rsidR="00436B40">
              <w:rPr>
                <w:rFonts w:ascii="Lato" w:hAnsi="Lato" w:cs="Arial"/>
                <w:color w:val="000000" w:themeColor="text1"/>
              </w:rPr>
              <w:t xml:space="preserve"> </w:t>
            </w:r>
            <w:r w:rsidR="005711E0" w:rsidRPr="00EE6A61">
              <w:rPr>
                <w:rFonts w:ascii="Lato" w:hAnsi="Lato" w:cs="Arial"/>
                <w:color w:val="000000" w:themeColor="text1"/>
              </w:rPr>
              <w:t>o</w:t>
            </w:r>
            <w:r w:rsidR="00436B40">
              <w:rPr>
                <w:rFonts w:ascii="Lato" w:hAnsi="Lato" w:cs="Arial"/>
                <w:color w:val="000000" w:themeColor="text1"/>
              </w:rPr>
              <w:t xml:space="preserve">r federal member </w:t>
            </w:r>
            <w:r w:rsidR="005711E0">
              <w:rPr>
                <w:rFonts w:ascii="Lato" w:hAnsi="Lato" w:cs="Arial"/>
                <w:color w:val="000000" w:themeColor="text1"/>
              </w:rPr>
              <w:t>states</w:t>
            </w:r>
            <w:r w:rsidR="009C620B" w:rsidRPr="009C620B">
              <w:rPr>
                <w:rFonts w:ascii="Lato" w:hAnsi="Lato" w:cs="Arial"/>
                <w:color w:val="000000" w:themeColor="text1"/>
              </w:rPr>
              <w:t xml:space="preserve"> </w:t>
            </w:r>
          </w:p>
          <w:p w14:paraId="4E789614" w14:textId="172F6E60" w:rsidR="00F91891" w:rsidRPr="00F91891" w:rsidRDefault="00F91891" w:rsidP="00F91891">
            <w:pPr>
              <w:spacing w:after="0" w:line="240" w:lineRule="auto"/>
              <w:jc w:val="both"/>
              <w:rPr>
                <w:rFonts w:ascii="Lato" w:hAnsi="Lato" w:cs="Arial"/>
                <w:bCs/>
                <w:i/>
                <w:iCs/>
                <w:color w:val="000000" w:themeColor="text1"/>
              </w:rPr>
            </w:pPr>
            <w:r w:rsidRPr="00F91891">
              <w:rPr>
                <w:b/>
                <w:bCs/>
                <w:i/>
                <w:iCs/>
              </w:rPr>
              <w:t>NB</w:t>
            </w:r>
            <w:r w:rsidRPr="00F91891">
              <w:rPr>
                <w:rFonts w:ascii="Lato" w:hAnsi="Lato" w:cs="Arial"/>
                <w:i/>
                <w:iCs/>
                <w:color w:val="000000" w:themeColor="text1"/>
              </w:rPr>
              <w:t>: This is only applicable to firms and not individual consultants</w:t>
            </w:r>
            <w:r w:rsidRPr="00F91891">
              <w:rPr>
                <w:rFonts w:ascii="Lato" w:hAnsi="Lato" w:cs="Arial"/>
                <w:bCs/>
                <w:i/>
                <w:iCs/>
                <w:color w:val="000000" w:themeColor="text1"/>
              </w:rPr>
              <w:t xml:space="preserve"> </w:t>
            </w:r>
          </w:p>
          <w:p w14:paraId="164C32BA" w14:textId="1B7FBD51" w:rsidR="00F91891" w:rsidRPr="00A813EC" w:rsidRDefault="00F91891" w:rsidP="00551AF4">
            <w:pPr>
              <w:spacing w:after="0" w:line="240" w:lineRule="auto"/>
              <w:jc w:val="both"/>
              <w:rPr>
                <w:rFonts w:ascii="Lato" w:hAnsi="Lato" w:cs="Arial"/>
                <w:color w:val="000000" w:themeColor="text1"/>
              </w:rPr>
            </w:pPr>
          </w:p>
        </w:tc>
        <w:tc>
          <w:tcPr>
            <w:tcW w:w="2522" w:type="dxa"/>
            <w:tcBorders>
              <w:bottom w:val="single" w:sz="4" w:space="0" w:color="auto"/>
            </w:tcBorders>
            <w:vAlign w:val="center"/>
          </w:tcPr>
          <w:p w14:paraId="0442C48B" w14:textId="7B170D26" w:rsidR="00551AF4" w:rsidRPr="00C91FF8" w:rsidRDefault="00551AF4" w:rsidP="00551AF4">
            <w:pPr>
              <w:spacing w:after="0" w:line="240" w:lineRule="auto"/>
              <w:jc w:val="center"/>
              <w:rPr>
                <w:rFonts w:ascii="Lato" w:hAnsi="Lato" w:cs="Arial"/>
                <w:b/>
                <w:color w:val="000000" w:themeColor="text1"/>
                <w:sz w:val="24"/>
                <w:szCs w:val="24"/>
              </w:rPr>
            </w:pPr>
            <w:r w:rsidRPr="00C91FF8">
              <w:rPr>
                <w:rFonts w:ascii="Lato" w:hAnsi="Lato" w:cs="Arial"/>
                <w:b/>
                <w:color w:val="000000" w:themeColor="text1"/>
                <w:sz w:val="24"/>
                <w:szCs w:val="24"/>
              </w:rPr>
              <w:t>Pass/Fail</w:t>
            </w:r>
          </w:p>
        </w:tc>
      </w:tr>
      <w:tr w:rsidR="00551AF4" w:rsidRPr="00D15476" w14:paraId="6D9A43A9" w14:textId="77777777" w:rsidTr="00CE065A">
        <w:trPr>
          <w:trHeight w:hRule="exact" w:val="853"/>
        </w:trPr>
        <w:tc>
          <w:tcPr>
            <w:tcW w:w="321" w:type="dxa"/>
            <w:tcBorders>
              <w:bottom w:val="single" w:sz="4" w:space="0" w:color="auto"/>
            </w:tcBorders>
            <w:shd w:val="clear" w:color="auto" w:fill="F2F2F2"/>
          </w:tcPr>
          <w:p w14:paraId="1708CEA0" w14:textId="73E4F467" w:rsidR="00551AF4" w:rsidRPr="00D15476" w:rsidRDefault="00551AF4" w:rsidP="005E51AC">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4</w:t>
            </w:r>
          </w:p>
        </w:tc>
        <w:tc>
          <w:tcPr>
            <w:tcW w:w="7212" w:type="dxa"/>
            <w:gridSpan w:val="2"/>
            <w:tcBorders>
              <w:bottom w:val="single" w:sz="4" w:space="0" w:color="auto"/>
            </w:tcBorders>
            <w:shd w:val="clear" w:color="auto" w:fill="F2F2F2"/>
          </w:tcPr>
          <w:p w14:paraId="59D721FD" w14:textId="47A518F8" w:rsidR="009F31A7" w:rsidRPr="00CE065A" w:rsidRDefault="00551AF4" w:rsidP="00A813EC">
            <w:pPr>
              <w:spacing w:after="0" w:line="240" w:lineRule="auto"/>
              <w:jc w:val="both"/>
              <w:rPr>
                <w:rFonts w:ascii="Lato" w:hAnsi="Lato" w:cs="Arial"/>
                <w:color w:val="000000" w:themeColor="text1"/>
              </w:rPr>
            </w:pPr>
            <w:r w:rsidRPr="00EE6A61">
              <w:rPr>
                <w:rFonts w:ascii="Lato" w:hAnsi="Lato" w:cs="Arial"/>
                <w:color w:val="000000" w:themeColor="text1"/>
              </w:rPr>
              <w:t xml:space="preserve">A valid Tax Compliance Certificate </w:t>
            </w:r>
            <w:r w:rsidRPr="005D11F9">
              <w:rPr>
                <w:rFonts w:ascii="Lato" w:hAnsi="Lato" w:cs="Arial"/>
                <w:color w:val="000000" w:themeColor="text1"/>
              </w:rPr>
              <w:t xml:space="preserve">the relevant ministry of Finance/Revenue </w:t>
            </w:r>
            <w:r w:rsidR="003F4C10" w:rsidRPr="005D11F9">
              <w:rPr>
                <w:rFonts w:ascii="Lato" w:hAnsi="Lato" w:cs="Arial"/>
                <w:color w:val="000000" w:themeColor="text1"/>
              </w:rPr>
              <w:t>Authority</w:t>
            </w:r>
          </w:p>
          <w:p w14:paraId="2D3FCE9D" w14:textId="77777777" w:rsidR="00F91891" w:rsidRPr="00F91891" w:rsidRDefault="00F91891" w:rsidP="00F91891">
            <w:pPr>
              <w:spacing w:after="0" w:line="240" w:lineRule="auto"/>
              <w:jc w:val="both"/>
              <w:rPr>
                <w:rFonts w:ascii="Lato" w:hAnsi="Lato" w:cs="Arial"/>
                <w:bCs/>
                <w:i/>
                <w:iCs/>
                <w:color w:val="000000" w:themeColor="text1"/>
              </w:rPr>
            </w:pPr>
            <w:r w:rsidRPr="00F91891">
              <w:rPr>
                <w:b/>
                <w:bCs/>
                <w:i/>
                <w:iCs/>
              </w:rPr>
              <w:t>NB</w:t>
            </w:r>
            <w:r w:rsidRPr="00F91891">
              <w:rPr>
                <w:rFonts w:ascii="Lato" w:hAnsi="Lato" w:cs="Arial"/>
                <w:i/>
                <w:iCs/>
                <w:color w:val="000000" w:themeColor="text1"/>
              </w:rPr>
              <w:t>: This is only applicable to firms and not individual consultants</w:t>
            </w:r>
            <w:r w:rsidRPr="00F91891">
              <w:rPr>
                <w:rFonts w:ascii="Lato" w:hAnsi="Lato" w:cs="Arial"/>
                <w:bCs/>
                <w:i/>
                <w:iCs/>
                <w:color w:val="000000" w:themeColor="text1"/>
              </w:rPr>
              <w:t xml:space="preserve"> </w:t>
            </w:r>
          </w:p>
          <w:p w14:paraId="47EB8300" w14:textId="4AB6C0C3" w:rsidR="00F91891" w:rsidRPr="00EE6A61" w:rsidRDefault="00F91891" w:rsidP="00A813EC">
            <w:pPr>
              <w:spacing w:after="0" w:line="240" w:lineRule="auto"/>
              <w:jc w:val="both"/>
              <w:rPr>
                <w:rFonts w:ascii="Lato" w:hAnsi="Lato" w:cs="Arial"/>
                <w:bCs/>
                <w:color w:val="000000" w:themeColor="text1"/>
              </w:rPr>
            </w:pPr>
          </w:p>
        </w:tc>
        <w:tc>
          <w:tcPr>
            <w:tcW w:w="2522" w:type="dxa"/>
            <w:tcBorders>
              <w:bottom w:val="single" w:sz="4" w:space="0" w:color="auto"/>
            </w:tcBorders>
            <w:vAlign w:val="center"/>
          </w:tcPr>
          <w:p w14:paraId="310D7DA7" w14:textId="5CC50419" w:rsidR="00551AF4" w:rsidRPr="00C91FF8" w:rsidRDefault="00551AF4" w:rsidP="00551AF4">
            <w:pPr>
              <w:spacing w:after="0" w:line="240" w:lineRule="auto"/>
              <w:jc w:val="center"/>
              <w:rPr>
                <w:rFonts w:ascii="Lato" w:hAnsi="Lato" w:cs="Arial"/>
                <w:b/>
                <w:color w:val="000000" w:themeColor="text1"/>
                <w:sz w:val="24"/>
                <w:szCs w:val="24"/>
              </w:rPr>
            </w:pPr>
            <w:r w:rsidRPr="00C91FF8">
              <w:rPr>
                <w:rFonts w:ascii="Lato" w:hAnsi="Lato" w:cs="Arial"/>
                <w:b/>
                <w:color w:val="000000" w:themeColor="text1"/>
                <w:sz w:val="24"/>
                <w:szCs w:val="24"/>
              </w:rPr>
              <w:t>Pass/Fail</w:t>
            </w:r>
          </w:p>
        </w:tc>
      </w:tr>
      <w:tr w:rsidR="00551AF4" w:rsidRPr="00D15476" w14:paraId="0290719C" w14:textId="77777777" w:rsidTr="005E51AC">
        <w:trPr>
          <w:trHeight w:hRule="exact" w:val="415"/>
        </w:trPr>
        <w:tc>
          <w:tcPr>
            <w:tcW w:w="321" w:type="dxa"/>
            <w:tcBorders>
              <w:bottom w:val="single" w:sz="4" w:space="0" w:color="auto"/>
            </w:tcBorders>
            <w:shd w:val="clear" w:color="auto" w:fill="F2F2F2"/>
          </w:tcPr>
          <w:p w14:paraId="3ED75966" w14:textId="77777777" w:rsidR="00551AF4" w:rsidRPr="00D15476" w:rsidRDefault="00551AF4" w:rsidP="005E51AC">
            <w:pPr>
              <w:spacing w:after="0" w:line="240" w:lineRule="auto"/>
              <w:ind w:hanging="128"/>
              <w:jc w:val="center"/>
              <w:rPr>
                <w:rFonts w:ascii="Lato" w:hAnsi="Lato" w:cs="Arial"/>
                <w:color w:val="000000" w:themeColor="text1"/>
                <w:sz w:val="20"/>
                <w:szCs w:val="20"/>
              </w:rPr>
            </w:pPr>
          </w:p>
        </w:tc>
        <w:tc>
          <w:tcPr>
            <w:tcW w:w="9734" w:type="dxa"/>
            <w:gridSpan w:val="3"/>
          </w:tcPr>
          <w:p w14:paraId="59ADFB59" w14:textId="6079F8B9" w:rsidR="00551AF4" w:rsidRPr="005D11F9" w:rsidRDefault="00551AF4" w:rsidP="00551AF4">
            <w:pPr>
              <w:spacing w:after="0" w:line="240" w:lineRule="auto"/>
              <w:rPr>
                <w:rFonts w:ascii="Lato" w:hAnsi="Lato" w:cs="Arial"/>
                <w:b/>
                <w:color w:val="000000" w:themeColor="text1"/>
                <w:sz w:val="24"/>
                <w:szCs w:val="24"/>
              </w:rPr>
            </w:pPr>
            <w:r w:rsidRPr="005D11F9">
              <w:rPr>
                <w:rFonts w:ascii="Lato" w:hAnsi="Lato" w:cs="Arial"/>
                <w:b/>
                <w:color w:val="000000" w:themeColor="text1"/>
                <w:sz w:val="24"/>
                <w:szCs w:val="24"/>
              </w:rPr>
              <w:t>Capability Criteria (Technical Evaluation):</w:t>
            </w:r>
          </w:p>
        </w:tc>
      </w:tr>
      <w:tr w:rsidR="00532A44" w:rsidRPr="00D15476" w14:paraId="5708565D" w14:textId="77777777" w:rsidTr="00532A44">
        <w:trPr>
          <w:trHeight w:hRule="exact" w:val="1563"/>
        </w:trPr>
        <w:tc>
          <w:tcPr>
            <w:tcW w:w="321" w:type="dxa"/>
            <w:tcBorders>
              <w:bottom w:val="single" w:sz="4" w:space="0" w:color="auto"/>
            </w:tcBorders>
            <w:shd w:val="clear" w:color="auto" w:fill="F2F2F2"/>
          </w:tcPr>
          <w:p w14:paraId="2FDA3D2F" w14:textId="5C6D6187" w:rsidR="00532A44" w:rsidRPr="00D15476" w:rsidRDefault="00532A44" w:rsidP="00886058">
            <w:pPr>
              <w:spacing w:after="0" w:line="240" w:lineRule="auto"/>
              <w:ind w:hanging="128"/>
              <w:jc w:val="center"/>
              <w:rPr>
                <w:rFonts w:ascii="Lato" w:hAnsi="Lato" w:cs="Arial"/>
                <w:color w:val="000000" w:themeColor="text1"/>
                <w:sz w:val="20"/>
                <w:szCs w:val="20"/>
              </w:rPr>
            </w:pPr>
            <w:r w:rsidRPr="00D15476">
              <w:rPr>
                <w:rFonts w:ascii="Lato" w:hAnsi="Lato" w:cs="Arial"/>
                <w:color w:val="000000" w:themeColor="text1"/>
                <w:sz w:val="20"/>
                <w:szCs w:val="20"/>
              </w:rPr>
              <w:t>5</w:t>
            </w:r>
          </w:p>
        </w:tc>
        <w:tc>
          <w:tcPr>
            <w:tcW w:w="9734" w:type="dxa"/>
            <w:gridSpan w:val="3"/>
          </w:tcPr>
          <w:p w14:paraId="1765C7C2" w14:textId="77777777" w:rsidR="00532A44" w:rsidRDefault="00532A44" w:rsidP="00E75262">
            <w:pPr>
              <w:spacing w:after="0" w:line="240" w:lineRule="auto"/>
              <w:jc w:val="both"/>
              <w:rPr>
                <w:rFonts w:ascii="Lato" w:hAnsi="Lato" w:cs="Arial"/>
                <w:sz w:val="20"/>
                <w:szCs w:val="20"/>
                <w:lang w:val="en-GB"/>
              </w:rPr>
            </w:pPr>
            <w:r w:rsidRPr="00D15476">
              <w:rPr>
                <w:rFonts w:ascii="Lato" w:hAnsi="Lato" w:cs="Arial"/>
                <w:sz w:val="20"/>
                <w:szCs w:val="20"/>
                <w:lang w:val="en-GB"/>
              </w:rPr>
              <w:t xml:space="preserve">Detailed technical proposal with clear </w:t>
            </w:r>
            <w:r>
              <w:rPr>
                <w:rFonts w:ascii="Lato" w:hAnsi="Lato" w:cs="Arial"/>
                <w:sz w:val="20"/>
                <w:szCs w:val="20"/>
                <w:lang w:val="en-GB"/>
              </w:rPr>
              <w:t>understanding of the TOR and M</w:t>
            </w:r>
            <w:r w:rsidRPr="00D15476">
              <w:rPr>
                <w:rFonts w:ascii="Lato" w:hAnsi="Lato" w:cs="Arial"/>
                <w:sz w:val="20"/>
                <w:szCs w:val="20"/>
                <w:lang w:val="en-GB"/>
              </w:rPr>
              <w:t xml:space="preserve">ethodology of how the consultant intends to conduct </w:t>
            </w:r>
            <w:r>
              <w:rPr>
                <w:rFonts w:ascii="Lato" w:hAnsi="Lato" w:cs="Arial"/>
                <w:sz w:val="20"/>
                <w:szCs w:val="20"/>
                <w:lang w:val="en-GB"/>
              </w:rPr>
              <w:t xml:space="preserve">assignment with </w:t>
            </w:r>
            <w:r w:rsidRPr="00D15476">
              <w:rPr>
                <w:rFonts w:ascii="Lato" w:hAnsi="Lato" w:cs="Arial"/>
                <w:sz w:val="20"/>
                <w:szCs w:val="20"/>
                <w:lang w:val="en-GB"/>
              </w:rPr>
              <w:t>detailed work plan</w:t>
            </w:r>
            <w:r>
              <w:rPr>
                <w:rFonts w:ascii="Lato" w:hAnsi="Lato" w:cs="Arial"/>
                <w:sz w:val="20"/>
                <w:szCs w:val="20"/>
                <w:lang w:val="en-GB"/>
              </w:rPr>
              <w:t>,</w:t>
            </w:r>
            <w:r w:rsidRPr="00D15476">
              <w:rPr>
                <w:rFonts w:ascii="Lato" w:hAnsi="Lato" w:cs="Arial"/>
                <w:sz w:val="20"/>
                <w:szCs w:val="20"/>
                <w:lang w:val="en-GB"/>
              </w:rPr>
              <w:t xml:space="preserve"> clear milestones, methodologies, data analyses</w:t>
            </w:r>
            <w:r>
              <w:rPr>
                <w:rFonts w:ascii="Lato" w:hAnsi="Lato" w:cs="Arial"/>
                <w:sz w:val="20"/>
                <w:szCs w:val="20"/>
                <w:lang w:val="en-GB"/>
              </w:rPr>
              <w:t xml:space="preserve"> plan </w:t>
            </w:r>
            <w:r w:rsidRPr="00D15476">
              <w:rPr>
                <w:rFonts w:ascii="Lato" w:hAnsi="Lato" w:cs="Arial"/>
                <w:sz w:val="20"/>
                <w:szCs w:val="20"/>
                <w:lang w:val="en-GB"/>
              </w:rPr>
              <w:t xml:space="preserve">including </w:t>
            </w:r>
            <w:r>
              <w:rPr>
                <w:rFonts w:ascii="Lato" w:hAnsi="Lato" w:cs="Arial"/>
                <w:sz w:val="20"/>
                <w:szCs w:val="20"/>
                <w:lang w:val="en-GB"/>
              </w:rPr>
              <w:t xml:space="preserve">any </w:t>
            </w:r>
            <w:r w:rsidRPr="00D15476">
              <w:rPr>
                <w:rFonts w:ascii="Lato" w:hAnsi="Lato" w:cs="Arial"/>
                <w:sz w:val="20"/>
                <w:szCs w:val="20"/>
                <w:lang w:val="en-GB"/>
              </w:rPr>
              <w:t xml:space="preserve">software to be used for analysis. </w:t>
            </w:r>
          </w:p>
          <w:p w14:paraId="36AD0EB5" w14:textId="77777777" w:rsidR="00532A44" w:rsidRPr="00D15476" w:rsidRDefault="00532A44" w:rsidP="00E75262">
            <w:pPr>
              <w:spacing w:after="0" w:line="240" w:lineRule="auto"/>
              <w:jc w:val="both"/>
              <w:rPr>
                <w:rFonts w:ascii="Lato" w:hAnsi="Lato" w:cs="Arial"/>
                <w:sz w:val="20"/>
                <w:szCs w:val="20"/>
                <w:lang w:val="en-GB"/>
              </w:rPr>
            </w:pPr>
            <w:r w:rsidRPr="00D15476">
              <w:rPr>
                <w:rFonts w:ascii="Lato" w:hAnsi="Lato" w:cs="Arial"/>
                <w:sz w:val="20"/>
                <w:szCs w:val="20"/>
                <w:lang w:val="en-GB"/>
              </w:rPr>
              <w:t>This to be evaluated based on:</w:t>
            </w:r>
          </w:p>
          <w:p w14:paraId="2819F632" w14:textId="77777777" w:rsidR="00532A44" w:rsidRDefault="00532A44" w:rsidP="00E75262">
            <w:pPr>
              <w:pStyle w:val="ListParagraph"/>
              <w:numPr>
                <w:ilvl w:val="0"/>
                <w:numId w:val="12"/>
              </w:numPr>
              <w:jc w:val="both"/>
              <w:rPr>
                <w:rFonts w:ascii="Lato" w:eastAsia="Calibri" w:hAnsi="Lato" w:cs="Arial"/>
                <w:b/>
                <w:bCs/>
                <w:sz w:val="20"/>
                <w:szCs w:val="20"/>
                <w:lang w:eastAsia="en-US"/>
              </w:rPr>
            </w:pPr>
            <w:r w:rsidRPr="00981C64">
              <w:rPr>
                <w:rFonts w:ascii="Lato" w:eastAsia="Calibri" w:hAnsi="Lato" w:cs="Arial"/>
                <w:b/>
                <w:bCs/>
                <w:sz w:val="20"/>
                <w:szCs w:val="20"/>
                <w:lang w:eastAsia="en-US"/>
              </w:rPr>
              <w:t xml:space="preserve">Overall quality, clarity, organization and relevance of the technical proposal document </w:t>
            </w:r>
          </w:p>
          <w:p w14:paraId="171814D5" w14:textId="0E32B8E5" w:rsidR="00532A44" w:rsidRPr="00532A44" w:rsidRDefault="00532A44" w:rsidP="00E75262">
            <w:pPr>
              <w:pStyle w:val="ListParagraph"/>
              <w:numPr>
                <w:ilvl w:val="0"/>
                <w:numId w:val="12"/>
              </w:numPr>
              <w:jc w:val="both"/>
              <w:rPr>
                <w:rFonts w:ascii="Lato" w:eastAsia="Calibri" w:hAnsi="Lato" w:cs="Arial"/>
                <w:b/>
                <w:bCs/>
                <w:sz w:val="20"/>
                <w:szCs w:val="20"/>
                <w:lang w:eastAsia="en-US"/>
              </w:rPr>
            </w:pPr>
            <w:r w:rsidRPr="00E75262">
              <w:rPr>
                <w:rFonts w:ascii="Lato" w:hAnsi="Lato" w:cs="Arial"/>
                <w:b/>
                <w:bCs/>
                <w:sz w:val="20"/>
                <w:szCs w:val="20"/>
              </w:rPr>
              <w:t>The level of work plan detail and how it is related to the proposed methodology</w:t>
            </w:r>
          </w:p>
          <w:p w14:paraId="19907C96" w14:textId="4AEBEB6D" w:rsidR="00532A44" w:rsidRPr="00D15476" w:rsidRDefault="00532A44" w:rsidP="00532A44">
            <w:pPr>
              <w:spacing w:after="0" w:line="240" w:lineRule="auto"/>
              <w:rPr>
                <w:rFonts w:ascii="Lato" w:hAnsi="Lato" w:cs="Arial"/>
                <w:b/>
                <w:color w:val="000000" w:themeColor="text1"/>
                <w:sz w:val="20"/>
                <w:szCs w:val="20"/>
              </w:rPr>
            </w:pPr>
          </w:p>
        </w:tc>
      </w:tr>
      <w:tr w:rsidR="00532A44" w:rsidRPr="00D15476" w14:paraId="228CE34B" w14:textId="77777777" w:rsidTr="00532A44">
        <w:trPr>
          <w:trHeight w:hRule="exact" w:val="438"/>
        </w:trPr>
        <w:tc>
          <w:tcPr>
            <w:tcW w:w="321" w:type="dxa"/>
            <w:tcBorders>
              <w:bottom w:val="single" w:sz="4" w:space="0" w:color="auto"/>
            </w:tcBorders>
            <w:shd w:val="clear" w:color="auto" w:fill="F2F2F2"/>
          </w:tcPr>
          <w:p w14:paraId="26E69271" w14:textId="5869F85F" w:rsidR="00532A44" w:rsidRPr="00D15476" w:rsidRDefault="00532A44" w:rsidP="00886058">
            <w:pPr>
              <w:spacing w:after="0"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6</w:t>
            </w:r>
          </w:p>
        </w:tc>
        <w:tc>
          <w:tcPr>
            <w:tcW w:w="9734" w:type="dxa"/>
            <w:gridSpan w:val="3"/>
          </w:tcPr>
          <w:p w14:paraId="12765735" w14:textId="77777777" w:rsidR="00532A44" w:rsidRPr="00D15476" w:rsidRDefault="00532A44" w:rsidP="00886058">
            <w:pPr>
              <w:spacing w:after="0" w:line="240" w:lineRule="auto"/>
              <w:jc w:val="both"/>
              <w:rPr>
                <w:rFonts w:ascii="Lato" w:hAnsi="Lato" w:cs="Arial"/>
                <w:sz w:val="20"/>
                <w:szCs w:val="20"/>
                <w:lang w:val="en-GB"/>
              </w:rPr>
            </w:pPr>
            <w:r w:rsidRPr="00A00AE5">
              <w:rPr>
                <w:rFonts w:ascii="Lato" w:hAnsi="Lato" w:cs="Arial"/>
                <w:sz w:val="20"/>
                <w:szCs w:val="20"/>
                <w:lang w:val="en-GB"/>
              </w:rPr>
              <w:t xml:space="preserve">Two Copies of the previous similar reports relevant to the subject matter. </w:t>
            </w:r>
          </w:p>
          <w:p w14:paraId="128C11A0" w14:textId="6C3C6CA7" w:rsidR="00532A44" w:rsidRPr="00D15476" w:rsidRDefault="00532A44" w:rsidP="00532A44">
            <w:pPr>
              <w:spacing w:after="0" w:line="240" w:lineRule="auto"/>
              <w:rPr>
                <w:rFonts w:ascii="Lato" w:hAnsi="Lato" w:cs="Arial"/>
                <w:b/>
                <w:color w:val="000000" w:themeColor="text1"/>
                <w:sz w:val="20"/>
                <w:szCs w:val="20"/>
              </w:rPr>
            </w:pPr>
          </w:p>
        </w:tc>
      </w:tr>
      <w:tr w:rsidR="00532A44" w:rsidRPr="00D15476" w14:paraId="17FA4849" w14:textId="77777777" w:rsidTr="00532A44">
        <w:trPr>
          <w:trHeight w:hRule="exact" w:val="416"/>
        </w:trPr>
        <w:tc>
          <w:tcPr>
            <w:tcW w:w="321" w:type="dxa"/>
            <w:tcBorders>
              <w:bottom w:val="single" w:sz="4" w:space="0" w:color="auto"/>
            </w:tcBorders>
            <w:shd w:val="clear" w:color="auto" w:fill="F2F2F2"/>
          </w:tcPr>
          <w:p w14:paraId="7D10CEF9" w14:textId="40FD00E7" w:rsidR="00532A44" w:rsidRDefault="00532A44" w:rsidP="00886058">
            <w:pPr>
              <w:spacing w:after="0"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7</w:t>
            </w:r>
          </w:p>
        </w:tc>
        <w:tc>
          <w:tcPr>
            <w:tcW w:w="9734" w:type="dxa"/>
            <w:gridSpan w:val="3"/>
          </w:tcPr>
          <w:p w14:paraId="10E2C69E" w14:textId="77777777" w:rsidR="00532A44" w:rsidRPr="00A00AE5" w:rsidRDefault="00532A44" w:rsidP="00886058">
            <w:pPr>
              <w:spacing w:after="0" w:line="240" w:lineRule="auto"/>
              <w:jc w:val="both"/>
              <w:rPr>
                <w:rFonts w:ascii="Lato" w:hAnsi="Lato" w:cs="Arial"/>
                <w:sz w:val="20"/>
                <w:szCs w:val="20"/>
                <w:lang w:val="en-GB"/>
              </w:rPr>
            </w:pPr>
            <w:r>
              <w:rPr>
                <w:rFonts w:ascii="Lato" w:hAnsi="Lato" w:cs="Arial"/>
                <w:sz w:val="20"/>
                <w:szCs w:val="20"/>
                <w:lang w:val="en-GB"/>
              </w:rPr>
              <w:t xml:space="preserve">Submit official and genuine signed bank statement from </w:t>
            </w:r>
            <w:r w:rsidRPr="00067810">
              <w:rPr>
                <w:rFonts w:ascii="Lato" w:hAnsi="Lato" w:cs="Arial"/>
                <w:sz w:val="20"/>
                <w:szCs w:val="20"/>
                <w:lang w:val="en-GB"/>
              </w:rPr>
              <w:t>1</w:t>
            </w:r>
            <w:r w:rsidRPr="00067810">
              <w:rPr>
                <w:rFonts w:ascii="Lato" w:hAnsi="Lato" w:cs="Arial"/>
                <w:sz w:val="20"/>
                <w:szCs w:val="20"/>
                <w:vertAlign w:val="superscript"/>
                <w:lang w:val="en-GB"/>
              </w:rPr>
              <w:t>st</w:t>
            </w:r>
            <w:r w:rsidRPr="00067810">
              <w:rPr>
                <w:rFonts w:ascii="Lato" w:hAnsi="Lato" w:cs="Arial"/>
                <w:sz w:val="20"/>
                <w:szCs w:val="20"/>
                <w:lang w:val="en-GB"/>
              </w:rPr>
              <w:t xml:space="preserve"> </w:t>
            </w:r>
            <w:r>
              <w:rPr>
                <w:rFonts w:ascii="Lato" w:hAnsi="Lato" w:cs="Arial"/>
                <w:sz w:val="20"/>
                <w:szCs w:val="20"/>
                <w:lang w:val="en-GB"/>
              </w:rPr>
              <w:t>May</w:t>
            </w:r>
            <w:r w:rsidRPr="00067810">
              <w:rPr>
                <w:rFonts w:ascii="Lato" w:hAnsi="Lato" w:cs="Arial"/>
                <w:sz w:val="20"/>
                <w:szCs w:val="20"/>
                <w:lang w:val="en-GB"/>
              </w:rPr>
              <w:t xml:space="preserve"> 202</w:t>
            </w:r>
            <w:r>
              <w:rPr>
                <w:rFonts w:ascii="Lato" w:hAnsi="Lato" w:cs="Arial"/>
                <w:sz w:val="20"/>
                <w:szCs w:val="20"/>
                <w:lang w:val="en-GB"/>
              </w:rPr>
              <w:t>5</w:t>
            </w:r>
            <w:r w:rsidRPr="00067810">
              <w:rPr>
                <w:rFonts w:ascii="Lato" w:hAnsi="Lato" w:cs="Arial"/>
                <w:sz w:val="20"/>
                <w:szCs w:val="20"/>
                <w:lang w:val="en-GB"/>
              </w:rPr>
              <w:t xml:space="preserve"> to 3</w:t>
            </w:r>
            <w:r>
              <w:rPr>
                <w:rFonts w:ascii="Lato" w:hAnsi="Lato" w:cs="Arial"/>
                <w:sz w:val="20"/>
                <w:szCs w:val="20"/>
                <w:lang w:val="en-GB"/>
              </w:rPr>
              <w:t>0</w:t>
            </w:r>
            <w:r w:rsidRPr="00A00A42">
              <w:rPr>
                <w:rFonts w:ascii="Lato" w:hAnsi="Lato" w:cs="Arial"/>
                <w:sz w:val="20"/>
                <w:szCs w:val="20"/>
                <w:vertAlign w:val="superscript"/>
                <w:lang w:val="en-GB"/>
              </w:rPr>
              <w:t>th</w:t>
            </w:r>
            <w:r>
              <w:rPr>
                <w:rFonts w:ascii="Lato" w:hAnsi="Lato" w:cs="Arial"/>
                <w:sz w:val="20"/>
                <w:szCs w:val="20"/>
                <w:lang w:val="en-GB"/>
              </w:rPr>
              <w:t xml:space="preserve"> April </w:t>
            </w:r>
            <w:r w:rsidRPr="00067810">
              <w:rPr>
                <w:rFonts w:ascii="Lato" w:hAnsi="Lato" w:cs="Arial"/>
                <w:sz w:val="20"/>
                <w:szCs w:val="20"/>
                <w:lang w:val="en-GB"/>
              </w:rPr>
              <w:t>202</w:t>
            </w:r>
            <w:r>
              <w:rPr>
                <w:rFonts w:ascii="Lato" w:hAnsi="Lato" w:cs="Arial"/>
                <w:sz w:val="20"/>
                <w:szCs w:val="20"/>
                <w:lang w:val="en-GB"/>
              </w:rPr>
              <w:t>6</w:t>
            </w:r>
            <w:r w:rsidRPr="00067810">
              <w:rPr>
                <w:rFonts w:ascii="Lato" w:hAnsi="Lato" w:cs="Arial"/>
                <w:sz w:val="20"/>
                <w:szCs w:val="20"/>
                <w:lang w:val="en-GB"/>
              </w:rPr>
              <w:t>.</w:t>
            </w:r>
          </w:p>
          <w:p w14:paraId="3E532D36" w14:textId="3D120493" w:rsidR="00532A44" w:rsidRDefault="00532A44" w:rsidP="00532A44">
            <w:pPr>
              <w:spacing w:after="0" w:line="240" w:lineRule="auto"/>
              <w:rPr>
                <w:rFonts w:ascii="Lato" w:hAnsi="Lato" w:cs="Arial"/>
                <w:b/>
                <w:color w:val="000000" w:themeColor="text1"/>
                <w:sz w:val="20"/>
                <w:szCs w:val="20"/>
              </w:rPr>
            </w:pPr>
          </w:p>
        </w:tc>
      </w:tr>
      <w:tr w:rsidR="00532A44" w:rsidRPr="00D15476" w14:paraId="3C36FD5D" w14:textId="77777777" w:rsidTr="00532A44">
        <w:trPr>
          <w:trHeight w:hRule="exact" w:val="1981"/>
        </w:trPr>
        <w:tc>
          <w:tcPr>
            <w:tcW w:w="321" w:type="dxa"/>
            <w:tcBorders>
              <w:bottom w:val="single" w:sz="4" w:space="0" w:color="auto"/>
            </w:tcBorders>
            <w:shd w:val="clear" w:color="auto" w:fill="F2F2F2"/>
          </w:tcPr>
          <w:p w14:paraId="46CF3F70" w14:textId="54E85F6F" w:rsidR="00532A44" w:rsidRPr="00D15476" w:rsidRDefault="00532A44" w:rsidP="00886058">
            <w:pPr>
              <w:spacing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8</w:t>
            </w:r>
          </w:p>
        </w:tc>
        <w:tc>
          <w:tcPr>
            <w:tcW w:w="9734" w:type="dxa"/>
            <w:gridSpan w:val="3"/>
            <w:tcBorders>
              <w:bottom w:val="single" w:sz="4" w:space="0" w:color="auto"/>
            </w:tcBorders>
            <w:shd w:val="clear" w:color="auto" w:fill="F2F2F2"/>
          </w:tcPr>
          <w:p w14:paraId="3767976E" w14:textId="77777777" w:rsidR="00532A44" w:rsidRPr="00D1449C" w:rsidRDefault="00532A44" w:rsidP="00886058">
            <w:pPr>
              <w:spacing w:after="0" w:line="240" w:lineRule="auto"/>
              <w:jc w:val="both"/>
              <w:rPr>
                <w:rFonts w:ascii="Arial" w:hAnsi="Arial" w:cs="Arial"/>
                <w:bCs/>
                <w:color w:val="000000" w:themeColor="text1"/>
                <w:sz w:val="24"/>
                <w:szCs w:val="24"/>
              </w:rPr>
            </w:pPr>
            <w:r w:rsidRPr="00025A3A">
              <w:rPr>
                <w:rFonts w:ascii="Lato" w:hAnsi="Lato" w:cs="Arial"/>
                <w:sz w:val="20"/>
                <w:szCs w:val="20"/>
                <w:lang w:val="en-GB"/>
              </w:rPr>
              <w:t>Experience in conducting similar assignments related</w:t>
            </w:r>
            <w:r>
              <w:rPr>
                <w:rFonts w:ascii="Arial" w:hAnsi="Arial" w:cs="Arial"/>
                <w:bCs/>
                <w:color w:val="000000" w:themeColor="text1"/>
                <w:sz w:val="24"/>
                <w:szCs w:val="24"/>
              </w:rPr>
              <w:t xml:space="preserve"> </w:t>
            </w:r>
            <w:r w:rsidRPr="0045512E">
              <w:rPr>
                <w:rFonts w:ascii="Lato" w:hAnsi="Lato" w:cs="Arial"/>
                <w:sz w:val="20"/>
                <w:szCs w:val="20"/>
                <w:lang w:val="en-GB"/>
              </w:rPr>
              <w:t xml:space="preserve">to </w:t>
            </w:r>
            <w:r>
              <w:rPr>
                <w:rFonts w:ascii="Lato" w:hAnsi="Lato" w:cs="Arial"/>
                <w:sz w:val="20"/>
                <w:szCs w:val="20"/>
                <w:lang w:val="en-GB"/>
              </w:rPr>
              <w:t xml:space="preserve">the subject matter as </w:t>
            </w:r>
            <w:r w:rsidRPr="0045512E">
              <w:rPr>
                <w:rFonts w:ascii="Lato" w:hAnsi="Lato" w:cs="Arial"/>
                <w:sz w:val="20"/>
                <w:szCs w:val="20"/>
                <w:lang w:val="en-GB"/>
              </w:rPr>
              <w:t>proven experience.</w:t>
            </w:r>
            <w:r>
              <w:rPr>
                <w:rFonts w:ascii="Arial" w:hAnsi="Arial" w:cs="Arial"/>
                <w:bCs/>
                <w:color w:val="000000" w:themeColor="text1"/>
                <w:sz w:val="24"/>
                <w:szCs w:val="24"/>
              </w:rPr>
              <w:t xml:space="preserve"> </w:t>
            </w:r>
            <w:r w:rsidRPr="00981C64">
              <w:rPr>
                <w:rFonts w:ascii="Lato" w:hAnsi="Lato" w:cs="Arial"/>
                <w:sz w:val="20"/>
                <w:szCs w:val="20"/>
                <w:lang w:val="en-GB"/>
              </w:rPr>
              <w:t>This to be evaluated based on:</w:t>
            </w:r>
            <w:r w:rsidRPr="00D1449C">
              <w:rPr>
                <w:rFonts w:ascii="Arial" w:hAnsi="Arial" w:cs="Arial"/>
                <w:bCs/>
                <w:color w:val="000000" w:themeColor="text1"/>
                <w:sz w:val="24"/>
                <w:szCs w:val="24"/>
              </w:rPr>
              <w:t xml:space="preserve"> </w:t>
            </w:r>
          </w:p>
          <w:p w14:paraId="1C29360C" w14:textId="7ADD4A8C" w:rsidR="00532A44" w:rsidRPr="00532A44" w:rsidRDefault="00532A44" w:rsidP="00532A44">
            <w:pPr>
              <w:pStyle w:val="ListParagraph"/>
              <w:numPr>
                <w:ilvl w:val="0"/>
                <w:numId w:val="9"/>
              </w:numPr>
              <w:jc w:val="both"/>
              <w:rPr>
                <w:rFonts w:ascii="Lato" w:eastAsia="Calibri" w:hAnsi="Lato" w:cs="Arial"/>
                <w:b/>
                <w:color w:val="000000" w:themeColor="text1"/>
                <w:sz w:val="19"/>
                <w:szCs w:val="19"/>
                <w:lang w:val="en-US" w:eastAsia="en-US"/>
              </w:rPr>
            </w:pPr>
            <w:r w:rsidRPr="00442DC1">
              <w:rPr>
                <w:rFonts w:ascii="Lato" w:eastAsia="Calibri" w:hAnsi="Lato" w:cs="Arial"/>
                <w:b/>
                <w:color w:val="000000" w:themeColor="text1"/>
                <w:sz w:val="19"/>
                <w:szCs w:val="19"/>
                <w:lang w:val="en-US" w:eastAsia="en-US"/>
              </w:rPr>
              <w:t xml:space="preserve">Prior experience </w:t>
            </w:r>
            <w:r>
              <w:rPr>
                <w:rFonts w:ascii="Lato" w:eastAsia="Calibri" w:hAnsi="Lato" w:cs="Arial"/>
                <w:b/>
                <w:color w:val="000000" w:themeColor="text1"/>
                <w:sz w:val="19"/>
                <w:szCs w:val="19"/>
                <w:lang w:val="en-US" w:eastAsia="en-US"/>
              </w:rPr>
              <w:t xml:space="preserve">of conducting similar assignments in political analysis or human rights - </w:t>
            </w:r>
            <w:r w:rsidRPr="003F4C10">
              <w:rPr>
                <w:rFonts w:ascii="Lato" w:eastAsia="Calibri" w:hAnsi="Lato" w:cs="Arial"/>
                <w:b/>
                <w:color w:val="000000" w:themeColor="text1"/>
                <w:sz w:val="19"/>
                <w:szCs w:val="19"/>
                <w:lang w:val="en-US" w:eastAsia="en-US"/>
              </w:rPr>
              <w:t>Please provide at least</w:t>
            </w:r>
            <w:r>
              <w:rPr>
                <w:rFonts w:ascii="Lato" w:eastAsia="Calibri" w:hAnsi="Lato" w:cs="Arial"/>
                <w:b/>
                <w:color w:val="000000" w:themeColor="text1"/>
                <w:sz w:val="19"/>
                <w:szCs w:val="19"/>
                <w:lang w:val="en-US" w:eastAsia="en-US"/>
              </w:rPr>
              <w:t xml:space="preserve"> two contracts and/or LPOs</w:t>
            </w:r>
          </w:p>
          <w:p w14:paraId="740B3117" w14:textId="3C9642E0" w:rsidR="00532A44" w:rsidRPr="00442DC1" w:rsidRDefault="00532A44" w:rsidP="003A46CD">
            <w:pPr>
              <w:pStyle w:val="ListParagraph"/>
              <w:numPr>
                <w:ilvl w:val="0"/>
                <w:numId w:val="9"/>
              </w:numPr>
              <w:jc w:val="both"/>
              <w:rPr>
                <w:rFonts w:ascii="Lato" w:eastAsia="Calibri" w:hAnsi="Lato" w:cs="Arial"/>
                <w:b/>
                <w:color w:val="000000" w:themeColor="text1"/>
                <w:sz w:val="19"/>
                <w:szCs w:val="19"/>
                <w:lang w:val="en-US" w:eastAsia="en-US"/>
              </w:rPr>
            </w:pPr>
            <w:r w:rsidRPr="00442DC1">
              <w:rPr>
                <w:rFonts w:ascii="Lato" w:hAnsi="Lato" w:cs="Arial"/>
                <w:b/>
                <w:color w:val="000000" w:themeColor="text1"/>
                <w:sz w:val="19"/>
                <w:szCs w:val="19"/>
              </w:rPr>
              <w:t xml:space="preserve">Two CVs for the proposed technical team detailing qualifications and experience </w:t>
            </w:r>
          </w:p>
          <w:p w14:paraId="6C672B2D" w14:textId="42443E60" w:rsidR="00532A44" w:rsidRPr="00442DC1" w:rsidRDefault="00532A44" w:rsidP="003A46CD">
            <w:pPr>
              <w:pStyle w:val="ListParagraph"/>
              <w:numPr>
                <w:ilvl w:val="0"/>
                <w:numId w:val="9"/>
              </w:numPr>
              <w:jc w:val="both"/>
              <w:rPr>
                <w:rFonts w:ascii="Lato" w:hAnsi="Lato" w:cs="Arial"/>
                <w:b/>
                <w:color w:val="000000" w:themeColor="text1"/>
                <w:sz w:val="19"/>
                <w:szCs w:val="19"/>
              </w:rPr>
            </w:pPr>
            <w:r w:rsidRPr="00442DC1">
              <w:rPr>
                <w:rFonts w:ascii="Lato" w:hAnsi="Lato" w:cs="Arial"/>
                <w:b/>
                <w:color w:val="000000" w:themeColor="text1"/>
                <w:sz w:val="19"/>
                <w:szCs w:val="19"/>
              </w:rPr>
              <w:t xml:space="preserve">Cover letter introducing the company, outlining their technical expertise and interest for the assignment including their technical suitability. </w:t>
            </w:r>
          </w:p>
          <w:p w14:paraId="333FA12C" w14:textId="77777777" w:rsidR="00532A44" w:rsidRPr="00D15476" w:rsidRDefault="00532A44" w:rsidP="003A46CD">
            <w:pPr>
              <w:pStyle w:val="ListParagraph"/>
              <w:numPr>
                <w:ilvl w:val="0"/>
                <w:numId w:val="9"/>
              </w:numPr>
              <w:jc w:val="both"/>
              <w:rPr>
                <w:rFonts w:ascii="Lato" w:hAnsi="Lato" w:cs="Arial"/>
                <w:bCs/>
                <w:color w:val="000000" w:themeColor="text1"/>
                <w:sz w:val="20"/>
                <w:szCs w:val="20"/>
              </w:rPr>
            </w:pPr>
            <w:r w:rsidRPr="00442DC1">
              <w:rPr>
                <w:rFonts w:ascii="Lato" w:hAnsi="Lato" w:cs="Arial"/>
                <w:b/>
                <w:color w:val="000000" w:themeColor="text1"/>
                <w:sz w:val="19"/>
                <w:szCs w:val="19"/>
              </w:rPr>
              <w:t>Updated Company Profile (Optional)</w:t>
            </w:r>
          </w:p>
          <w:p w14:paraId="789661E8" w14:textId="4F19B7C6" w:rsidR="00532A44" w:rsidRPr="00D15476" w:rsidRDefault="00532A44" w:rsidP="00532A44">
            <w:pPr>
              <w:spacing w:line="240" w:lineRule="auto"/>
              <w:rPr>
                <w:rFonts w:ascii="Lato" w:hAnsi="Lato" w:cs="Arial"/>
                <w:b/>
                <w:color w:val="000000" w:themeColor="text1"/>
                <w:sz w:val="20"/>
                <w:szCs w:val="20"/>
              </w:rPr>
            </w:pPr>
          </w:p>
        </w:tc>
      </w:tr>
      <w:tr w:rsidR="00886058" w:rsidRPr="00D15476" w14:paraId="2FB389E6" w14:textId="77777777" w:rsidTr="005E51AC">
        <w:trPr>
          <w:trHeight w:hRule="exact" w:val="314"/>
        </w:trPr>
        <w:tc>
          <w:tcPr>
            <w:tcW w:w="321" w:type="dxa"/>
            <w:tcBorders>
              <w:bottom w:val="single" w:sz="4" w:space="0" w:color="auto"/>
            </w:tcBorders>
            <w:shd w:val="clear" w:color="auto" w:fill="F2F2F2"/>
          </w:tcPr>
          <w:p w14:paraId="439FEA55" w14:textId="77777777" w:rsidR="00886058" w:rsidRPr="00D15476" w:rsidRDefault="00886058" w:rsidP="00886058">
            <w:pPr>
              <w:spacing w:line="240" w:lineRule="auto"/>
              <w:ind w:hanging="128"/>
              <w:jc w:val="center"/>
              <w:rPr>
                <w:rFonts w:ascii="Lato" w:hAnsi="Lato" w:cs="Arial"/>
                <w:color w:val="000000" w:themeColor="text1"/>
                <w:sz w:val="20"/>
                <w:szCs w:val="20"/>
              </w:rPr>
            </w:pPr>
          </w:p>
        </w:tc>
        <w:tc>
          <w:tcPr>
            <w:tcW w:w="9734" w:type="dxa"/>
            <w:gridSpan w:val="3"/>
            <w:tcBorders>
              <w:bottom w:val="single" w:sz="4" w:space="0" w:color="auto"/>
            </w:tcBorders>
            <w:shd w:val="clear" w:color="auto" w:fill="F2F2F2"/>
          </w:tcPr>
          <w:p w14:paraId="7BEC34D3" w14:textId="6C41BADB" w:rsidR="00886058" w:rsidRPr="00C91FF8" w:rsidRDefault="00886058" w:rsidP="00886058">
            <w:pPr>
              <w:spacing w:after="0" w:line="240" w:lineRule="auto"/>
              <w:rPr>
                <w:rFonts w:ascii="Lato" w:hAnsi="Lato" w:cs="Arial"/>
                <w:b/>
                <w:color w:val="000000" w:themeColor="text1"/>
                <w:sz w:val="24"/>
                <w:szCs w:val="24"/>
              </w:rPr>
            </w:pPr>
            <w:r w:rsidRPr="00C91FF8">
              <w:rPr>
                <w:rFonts w:ascii="Lato" w:hAnsi="Lato" w:cs="Arial"/>
                <w:b/>
                <w:color w:val="000000" w:themeColor="text1"/>
                <w:sz w:val="24"/>
                <w:szCs w:val="24"/>
              </w:rPr>
              <w:t>Commercial Criteria (Financial Evaluation):</w:t>
            </w:r>
          </w:p>
        </w:tc>
      </w:tr>
      <w:tr w:rsidR="00352736" w:rsidRPr="00D15476" w14:paraId="1823B559" w14:textId="77777777" w:rsidTr="008171B8">
        <w:trPr>
          <w:trHeight w:hRule="exact" w:val="824"/>
        </w:trPr>
        <w:tc>
          <w:tcPr>
            <w:tcW w:w="321" w:type="dxa"/>
            <w:tcBorders>
              <w:bottom w:val="single" w:sz="4" w:space="0" w:color="auto"/>
            </w:tcBorders>
            <w:shd w:val="clear" w:color="auto" w:fill="F2F2F2"/>
          </w:tcPr>
          <w:p w14:paraId="62520B90" w14:textId="6F33FB03" w:rsidR="00352736" w:rsidRPr="00D15476" w:rsidRDefault="00352736" w:rsidP="00886058">
            <w:pPr>
              <w:spacing w:line="240" w:lineRule="auto"/>
              <w:ind w:hanging="128"/>
              <w:jc w:val="center"/>
              <w:rPr>
                <w:rFonts w:ascii="Lato" w:hAnsi="Lato" w:cs="Arial"/>
                <w:color w:val="000000" w:themeColor="text1"/>
                <w:sz w:val="20"/>
                <w:szCs w:val="20"/>
              </w:rPr>
            </w:pPr>
            <w:r>
              <w:rPr>
                <w:rFonts w:ascii="Lato" w:hAnsi="Lato" w:cs="Arial"/>
                <w:color w:val="000000" w:themeColor="text1"/>
                <w:sz w:val="20"/>
                <w:szCs w:val="20"/>
              </w:rPr>
              <w:t>9</w:t>
            </w:r>
          </w:p>
        </w:tc>
        <w:tc>
          <w:tcPr>
            <w:tcW w:w="9734" w:type="dxa"/>
            <w:gridSpan w:val="3"/>
            <w:tcBorders>
              <w:bottom w:val="single" w:sz="4" w:space="0" w:color="auto"/>
            </w:tcBorders>
            <w:shd w:val="clear" w:color="auto" w:fill="F2F2F2"/>
          </w:tcPr>
          <w:p w14:paraId="11FD3E74" w14:textId="77777777" w:rsidR="00352736" w:rsidRDefault="00352736" w:rsidP="00886058">
            <w:pPr>
              <w:spacing w:after="0" w:line="240" w:lineRule="auto"/>
              <w:jc w:val="both"/>
              <w:rPr>
                <w:rFonts w:ascii="Lato" w:hAnsi="Lato" w:cs="Arial"/>
                <w:bCs/>
                <w:color w:val="000000" w:themeColor="text1"/>
                <w:sz w:val="20"/>
                <w:szCs w:val="20"/>
              </w:rPr>
            </w:pPr>
            <w:r w:rsidRPr="00FC674A">
              <w:rPr>
                <w:rFonts w:ascii="Lato" w:hAnsi="Lato" w:cs="Arial"/>
                <w:bCs/>
                <w:color w:val="000000" w:themeColor="text1"/>
                <w:sz w:val="20"/>
                <w:szCs w:val="20"/>
              </w:rPr>
              <w:t>Detailed financial proposal with budget breakdown including all expenses, fees, and taxes.</w:t>
            </w:r>
          </w:p>
          <w:p w14:paraId="0E4F6D60" w14:textId="0AB1132E" w:rsidR="00352736" w:rsidRPr="008171B8" w:rsidRDefault="00352736" w:rsidP="008171B8">
            <w:pPr>
              <w:spacing w:after="0" w:line="240" w:lineRule="auto"/>
              <w:jc w:val="both"/>
              <w:rPr>
                <w:rFonts w:ascii="Lato" w:hAnsi="Lato" w:cs="Arial"/>
                <w:bCs/>
                <w:color w:val="000000" w:themeColor="text1"/>
                <w:sz w:val="20"/>
                <w:szCs w:val="20"/>
              </w:rPr>
            </w:pPr>
            <m:oMathPara>
              <m:oMath>
                <m:d>
                  <m:dPr>
                    <m:begChr m:val="{"/>
                    <m:endChr m:val="}"/>
                    <m:ctrlPr>
                      <w:rPr>
                        <w:rFonts w:ascii="Cambria Math" w:hAnsi="Cambria Math" w:cs="Calibri"/>
                        <w:b/>
                        <w:i/>
                        <w:sz w:val="20"/>
                        <w:szCs w:val="20"/>
                      </w:rPr>
                    </m:ctrlPr>
                  </m:dPr>
                  <m:e>
                    <m:f>
                      <m:fPr>
                        <m:ctrlPr>
                          <w:rPr>
                            <w:rFonts w:ascii="Cambria Math" w:hAnsi="Cambria Math" w:cs="Calibri"/>
                            <w:b/>
                            <w:i/>
                            <w:sz w:val="20"/>
                            <w:szCs w:val="20"/>
                          </w:rPr>
                        </m:ctrlPr>
                      </m:fPr>
                      <m:num>
                        <m:r>
                          <m:rPr>
                            <m:sty m:val="bi"/>
                          </m:rPr>
                          <w:rPr>
                            <w:rFonts w:ascii="Cambria Math" w:hAnsi="Cambria Math" w:cs="Calibri"/>
                            <w:sz w:val="20"/>
                            <w:szCs w:val="20"/>
                          </w:rPr>
                          <m:t>100% x Lowest bid value</m:t>
                        </m:r>
                      </m:num>
                      <m:den>
                        <m:r>
                          <m:rPr>
                            <m:sty m:val="bi"/>
                          </m:rPr>
                          <w:rPr>
                            <w:rFonts w:ascii="Cambria Math" w:hAnsi="Cambria Math" w:cs="Calibri"/>
                            <w:sz w:val="20"/>
                            <w:szCs w:val="20"/>
                          </w:rPr>
                          <m:t>Current value bid</m:t>
                        </m:r>
                      </m:den>
                    </m:f>
                  </m:e>
                </m:d>
                <m:r>
                  <m:rPr>
                    <m:sty m:val="bi"/>
                  </m:rPr>
                  <w:rPr>
                    <w:rFonts w:ascii="Cambria Math" w:hAnsi="Cambria Math" w:cs="Calibri"/>
                    <w:sz w:val="20"/>
                    <w:szCs w:val="20"/>
                  </w:rPr>
                  <m:t xml:space="preserve"> x X%</m:t>
                </m:r>
              </m:oMath>
            </m:oMathPara>
          </w:p>
        </w:tc>
      </w:tr>
      <w:tr w:rsidR="00886058" w:rsidRPr="00D15476" w14:paraId="6A450758" w14:textId="77777777" w:rsidTr="005E51AC">
        <w:trPr>
          <w:trHeight w:hRule="exact" w:val="704"/>
        </w:trPr>
        <w:tc>
          <w:tcPr>
            <w:tcW w:w="10055" w:type="dxa"/>
            <w:gridSpan w:val="4"/>
            <w:tcBorders>
              <w:bottom w:val="single" w:sz="4" w:space="0" w:color="auto"/>
            </w:tcBorders>
            <w:shd w:val="clear" w:color="auto" w:fill="F2F2F2"/>
          </w:tcPr>
          <w:p w14:paraId="78D66332" w14:textId="15D2EFB9" w:rsidR="00886058" w:rsidRDefault="00886058" w:rsidP="00886058">
            <w:pPr>
              <w:spacing w:line="240" w:lineRule="auto"/>
              <w:ind w:hanging="128"/>
              <w:jc w:val="both"/>
              <w:rPr>
                <w:rFonts w:ascii="Lato" w:hAnsi="Lato" w:cs="Arial"/>
                <w:sz w:val="21"/>
                <w:szCs w:val="21"/>
                <w:lang w:val="en-GB"/>
              </w:rPr>
            </w:pPr>
            <w:r w:rsidRPr="009B782C">
              <w:rPr>
                <w:rFonts w:ascii="Lato" w:hAnsi="Lato" w:cs="Arial"/>
                <w:b/>
                <w:bCs/>
                <w:sz w:val="21"/>
                <w:szCs w:val="21"/>
                <w:lang w:val="en-GB"/>
              </w:rPr>
              <w:t xml:space="preserve">Note: </w:t>
            </w:r>
            <w:r w:rsidRPr="009B782C">
              <w:rPr>
                <w:rFonts w:ascii="Lato" w:hAnsi="Lato" w:cs="Arial"/>
                <w:sz w:val="21"/>
                <w:szCs w:val="21"/>
                <w:lang w:val="en-GB"/>
              </w:rPr>
              <w:t xml:space="preserve">For the technical analysis, </w:t>
            </w:r>
            <w:r w:rsidRPr="009B782C">
              <w:rPr>
                <w:rFonts w:ascii="Lato" w:hAnsi="Lato" w:cs="Arial"/>
                <w:b/>
                <w:bCs/>
                <w:sz w:val="21"/>
                <w:szCs w:val="21"/>
                <w:u w:val="single"/>
                <w:lang w:val="en-GB"/>
              </w:rPr>
              <w:t>a company must pass the essential criteria and score 60% and above on the capability</w:t>
            </w:r>
            <w:r w:rsidRPr="009B782C">
              <w:rPr>
                <w:rFonts w:ascii="Lato" w:hAnsi="Lato" w:cs="Arial"/>
                <w:sz w:val="21"/>
                <w:szCs w:val="21"/>
                <w:lang w:val="en-GB"/>
              </w:rPr>
              <w:t xml:space="preserve"> to be considered in the next evaluation process and the ultimate decision will be based on interview </w:t>
            </w:r>
            <w:r w:rsidR="00442DC1">
              <w:rPr>
                <w:rFonts w:ascii="Lato" w:hAnsi="Lato" w:cs="Arial"/>
                <w:sz w:val="21"/>
                <w:szCs w:val="21"/>
                <w:lang w:val="en-GB"/>
              </w:rPr>
              <w:t xml:space="preserve">performance </w:t>
            </w:r>
          </w:p>
          <w:p w14:paraId="7ADA22DA" w14:textId="77777777" w:rsidR="002144CC" w:rsidRDefault="002144CC" w:rsidP="00886058">
            <w:pPr>
              <w:spacing w:line="240" w:lineRule="auto"/>
              <w:ind w:hanging="128"/>
              <w:jc w:val="both"/>
              <w:rPr>
                <w:rFonts w:ascii="Lato" w:hAnsi="Lato" w:cs="Arial"/>
                <w:sz w:val="21"/>
                <w:szCs w:val="21"/>
                <w:lang w:val="en-GB"/>
              </w:rPr>
            </w:pPr>
          </w:p>
          <w:p w14:paraId="1DBC4B1A" w14:textId="77777777" w:rsidR="002144CC" w:rsidRDefault="002144CC" w:rsidP="00886058">
            <w:pPr>
              <w:spacing w:line="240" w:lineRule="auto"/>
              <w:ind w:hanging="128"/>
              <w:jc w:val="both"/>
              <w:rPr>
                <w:rFonts w:ascii="Lato" w:hAnsi="Lato" w:cs="Arial"/>
                <w:sz w:val="21"/>
                <w:szCs w:val="21"/>
                <w:lang w:val="en-GB"/>
              </w:rPr>
            </w:pPr>
          </w:p>
          <w:p w14:paraId="36D7F26F" w14:textId="77777777" w:rsidR="007946CD" w:rsidRPr="009B782C" w:rsidRDefault="007946CD" w:rsidP="00886058">
            <w:pPr>
              <w:spacing w:line="240" w:lineRule="auto"/>
              <w:ind w:hanging="128"/>
              <w:jc w:val="both"/>
              <w:rPr>
                <w:rFonts w:ascii="Lato" w:hAnsi="Lato" w:cs="Arial"/>
                <w:b/>
                <w:bCs/>
                <w:sz w:val="21"/>
                <w:szCs w:val="21"/>
                <w:lang w:val="en-GB"/>
              </w:rPr>
            </w:pPr>
          </w:p>
          <w:p w14:paraId="06364015" w14:textId="77777777" w:rsidR="00886058" w:rsidRPr="00D15476" w:rsidRDefault="00886058" w:rsidP="00886058">
            <w:pPr>
              <w:spacing w:line="240" w:lineRule="auto"/>
              <w:ind w:hanging="128"/>
              <w:jc w:val="both"/>
              <w:rPr>
                <w:rFonts w:ascii="Lato" w:hAnsi="Lato" w:cs="Arial"/>
                <w:b/>
                <w:color w:val="000000" w:themeColor="text1"/>
                <w:sz w:val="20"/>
                <w:szCs w:val="20"/>
                <w:lang w:val="en-GB"/>
              </w:rPr>
            </w:pPr>
          </w:p>
        </w:tc>
      </w:tr>
      <w:tr w:rsidR="00886058" w:rsidRPr="00D15476" w14:paraId="37DC4038" w14:textId="77777777" w:rsidTr="004871BE">
        <w:trPr>
          <w:trHeight w:hRule="exact" w:val="8090"/>
        </w:trPr>
        <w:tc>
          <w:tcPr>
            <w:tcW w:w="321" w:type="dxa"/>
            <w:tcBorders>
              <w:top w:val="single" w:sz="4" w:space="0" w:color="auto"/>
              <w:bottom w:val="single" w:sz="4" w:space="0" w:color="auto"/>
            </w:tcBorders>
            <w:shd w:val="clear" w:color="auto" w:fill="F2F2F2"/>
          </w:tcPr>
          <w:p w14:paraId="4BE698EF" w14:textId="3529E97F" w:rsidR="00886058" w:rsidRPr="00D15476" w:rsidRDefault="00886058" w:rsidP="00886058">
            <w:pPr>
              <w:spacing w:line="240" w:lineRule="auto"/>
              <w:ind w:hanging="128"/>
              <w:rPr>
                <w:rFonts w:ascii="Lato" w:hAnsi="Lato" w:cs="Arial"/>
                <w:color w:val="000000" w:themeColor="text1"/>
                <w:sz w:val="20"/>
                <w:szCs w:val="20"/>
              </w:rPr>
            </w:pPr>
            <w:r>
              <w:rPr>
                <w:rFonts w:ascii="Lato" w:hAnsi="Lato" w:cs="Arial"/>
                <w:color w:val="000000" w:themeColor="text1"/>
                <w:sz w:val="20"/>
                <w:szCs w:val="20"/>
              </w:rPr>
              <w:lastRenderedPageBreak/>
              <w:t>11</w:t>
            </w:r>
          </w:p>
        </w:tc>
        <w:tc>
          <w:tcPr>
            <w:tcW w:w="2622" w:type="dxa"/>
            <w:tcBorders>
              <w:top w:val="single" w:sz="4" w:space="0" w:color="auto"/>
              <w:bottom w:val="single" w:sz="4" w:space="0" w:color="auto"/>
            </w:tcBorders>
            <w:shd w:val="clear" w:color="auto" w:fill="F2F2F2"/>
          </w:tcPr>
          <w:p w14:paraId="6885F4F2" w14:textId="77777777" w:rsidR="00886058" w:rsidRPr="00D15476" w:rsidRDefault="00886058" w:rsidP="00886058">
            <w:pPr>
              <w:spacing w:line="240" w:lineRule="auto"/>
              <w:rPr>
                <w:rFonts w:ascii="Lato" w:hAnsi="Lato" w:cs="Arial"/>
                <w:b/>
                <w:color w:val="000000" w:themeColor="text1"/>
                <w:sz w:val="20"/>
                <w:szCs w:val="20"/>
              </w:rPr>
            </w:pPr>
            <w:r w:rsidRPr="00D15476">
              <w:rPr>
                <w:rFonts w:ascii="Lato" w:hAnsi="Lato" w:cs="Arial"/>
                <w:b/>
                <w:color w:val="000000" w:themeColor="text1"/>
                <w:sz w:val="20"/>
                <w:szCs w:val="20"/>
              </w:rPr>
              <w:t>Application Procedure</w:t>
            </w:r>
          </w:p>
        </w:tc>
        <w:tc>
          <w:tcPr>
            <w:tcW w:w="7112" w:type="dxa"/>
            <w:gridSpan w:val="2"/>
            <w:tcBorders>
              <w:top w:val="single" w:sz="4" w:space="0" w:color="auto"/>
              <w:bottom w:val="single" w:sz="4" w:space="0" w:color="auto"/>
            </w:tcBorders>
          </w:tcPr>
          <w:p w14:paraId="29FBF02E" w14:textId="08B88817" w:rsidR="00886058" w:rsidRPr="003B77FD" w:rsidRDefault="00886058" w:rsidP="003A46CD">
            <w:pPr>
              <w:pStyle w:val="ListParagraph"/>
              <w:numPr>
                <w:ilvl w:val="0"/>
                <w:numId w:val="1"/>
              </w:numPr>
              <w:jc w:val="both"/>
              <w:rPr>
                <w:rFonts w:ascii="Arial" w:hAnsi="Arial" w:cs="Arial"/>
                <w:color w:val="000000" w:themeColor="text1"/>
                <w:sz w:val="22"/>
                <w:szCs w:val="22"/>
              </w:rPr>
            </w:pPr>
            <w:r w:rsidRPr="003B77FD">
              <w:rPr>
                <w:rFonts w:ascii="Arial" w:hAnsi="Arial" w:cs="Arial"/>
                <w:color w:val="000000" w:themeColor="text1"/>
                <w:sz w:val="22"/>
                <w:szCs w:val="22"/>
              </w:rPr>
              <w:t xml:space="preserve">Interested consultant (s) who meet the consultancy requirements are requested to submit their bid and each application package should include the above required minimum requirements. </w:t>
            </w:r>
          </w:p>
          <w:p w14:paraId="3B1F1580" w14:textId="77777777" w:rsidR="00886058" w:rsidRPr="00B4615E" w:rsidRDefault="00886058" w:rsidP="00886058">
            <w:pPr>
              <w:pStyle w:val="ListParagraph"/>
              <w:ind w:left="360"/>
              <w:jc w:val="both"/>
              <w:rPr>
                <w:rFonts w:ascii="Lato" w:hAnsi="Lato" w:cs="Arial"/>
                <w:color w:val="000000" w:themeColor="text1"/>
                <w:sz w:val="20"/>
                <w:szCs w:val="20"/>
              </w:rPr>
            </w:pPr>
          </w:p>
          <w:p w14:paraId="47B9EE2D" w14:textId="77777777" w:rsidR="00886058" w:rsidRPr="00BD7C54" w:rsidRDefault="00886058" w:rsidP="00886058">
            <w:pPr>
              <w:spacing w:after="0" w:line="240" w:lineRule="auto"/>
              <w:jc w:val="both"/>
              <w:rPr>
                <w:rFonts w:ascii="Arial" w:hAnsi="Arial" w:cs="Arial"/>
                <w:color w:val="000000" w:themeColor="text1"/>
                <w:sz w:val="24"/>
                <w:szCs w:val="24"/>
              </w:rPr>
            </w:pPr>
            <w:r w:rsidRPr="00BD7C54">
              <w:rPr>
                <w:rFonts w:ascii="Arial" w:hAnsi="Arial" w:cs="Arial"/>
                <w:color w:val="000000" w:themeColor="text1"/>
                <w:sz w:val="24"/>
                <w:szCs w:val="24"/>
              </w:rPr>
              <w:t>Applications can be submitted by:</w:t>
            </w:r>
          </w:p>
          <w:p w14:paraId="42F3032C" w14:textId="77777777" w:rsidR="00886058" w:rsidRPr="00BD7C54" w:rsidRDefault="00886058" w:rsidP="00886058">
            <w:pPr>
              <w:spacing w:after="0" w:line="240" w:lineRule="auto"/>
              <w:jc w:val="both"/>
              <w:rPr>
                <w:rFonts w:ascii="Arial" w:hAnsi="Arial" w:cs="Arial"/>
                <w:b/>
                <w:color w:val="000000" w:themeColor="text1"/>
                <w:sz w:val="24"/>
                <w:szCs w:val="24"/>
              </w:rPr>
            </w:pPr>
            <w:r w:rsidRPr="00BD7C54">
              <w:rPr>
                <w:rFonts w:ascii="Arial" w:hAnsi="Arial" w:cs="Arial"/>
                <w:b/>
                <w:color w:val="000000" w:themeColor="text1"/>
                <w:sz w:val="24"/>
                <w:szCs w:val="24"/>
              </w:rPr>
              <w:t xml:space="preserve">Protected Email box </w:t>
            </w:r>
            <w:r>
              <w:rPr>
                <w:rFonts w:ascii="Arial" w:hAnsi="Arial" w:cs="Arial"/>
                <w:b/>
                <w:color w:val="000000" w:themeColor="text1"/>
                <w:sz w:val="24"/>
                <w:szCs w:val="24"/>
              </w:rPr>
              <w:t xml:space="preserve">below </w:t>
            </w:r>
          </w:p>
          <w:p w14:paraId="7FCD8C1E" w14:textId="5E277ABB" w:rsidR="00886058" w:rsidRPr="002D4E23" w:rsidRDefault="00886058" w:rsidP="003A46CD">
            <w:pPr>
              <w:pStyle w:val="ListParagraph"/>
              <w:numPr>
                <w:ilvl w:val="0"/>
                <w:numId w:val="1"/>
              </w:numPr>
              <w:jc w:val="both"/>
              <w:rPr>
                <w:rStyle w:val="Hyperlink"/>
                <w:rFonts w:ascii="Arial" w:hAnsi="Arial" w:cs="Arial"/>
                <w:color w:val="000000" w:themeColor="text1"/>
              </w:rPr>
            </w:pPr>
            <w:r w:rsidRPr="00BD7C54">
              <w:rPr>
                <w:rFonts w:ascii="Arial" w:eastAsia="Times New Roman" w:hAnsi="Arial" w:cs="Arial"/>
                <w:color w:val="000000" w:themeColor="text1"/>
                <w:lang w:eastAsia="ar-SA"/>
              </w:rPr>
              <w:t>Email</w:t>
            </w:r>
            <w:r w:rsidRPr="00BD7C54">
              <w:rPr>
                <w:rFonts w:ascii="Arial" w:hAnsi="Arial" w:cs="Arial"/>
                <w:color w:val="000000" w:themeColor="text1"/>
              </w:rPr>
              <w:t xml:space="preserve"> should be addressed to </w:t>
            </w:r>
            <w:hyperlink r:id="rId11" w:history="1">
              <w:r w:rsidRPr="001A0639">
                <w:rPr>
                  <w:rStyle w:val="Hyperlink"/>
                  <w:rFonts w:ascii="Arial" w:hAnsi="Arial" w:cs="Arial"/>
                </w:rPr>
                <w:t>Somalia.Tenders@savethechildren.org</w:t>
              </w:r>
            </w:hyperlink>
            <w:r>
              <w:rPr>
                <w:rFonts w:ascii="Arial" w:hAnsi="Arial" w:cs="Arial"/>
                <w:color w:val="000000" w:themeColor="text1"/>
              </w:rPr>
              <w:t xml:space="preserve"> </w:t>
            </w:r>
          </w:p>
          <w:p w14:paraId="0B8552A3" w14:textId="77777777" w:rsidR="00886058" w:rsidRPr="00BD7C54" w:rsidRDefault="00886058" w:rsidP="003A46CD">
            <w:pPr>
              <w:pStyle w:val="ListParagraph"/>
              <w:numPr>
                <w:ilvl w:val="0"/>
                <w:numId w:val="1"/>
              </w:numPr>
              <w:jc w:val="both"/>
              <w:rPr>
                <w:rFonts w:ascii="Arial" w:hAnsi="Arial" w:cs="Arial"/>
                <w:color w:val="000000" w:themeColor="text1"/>
              </w:rPr>
            </w:pPr>
            <w:r w:rsidRPr="002D4E23">
              <w:rPr>
                <w:rFonts w:ascii="Arial" w:hAnsi="Arial"/>
                <w:color w:val="000000" w:themeColor="text1"/>
              </w:rPr>
              <w:t>Should you need any clarifications please direct your queries to</w:t>
            </w:r>
            <w:r>
              <w:rPr>
                <w:rStyle w:val="Hyperlink"/>
                <w:rFonts w:ascii="Gill Sans MT" w:eastAsia="Times New Roman" w:hAnsi="Gill Sans MT" w:cs="Arial"/>
                <w:lang w:eastAsia="ar-SA"/>
              </w:rPr>
              <w:t xml:space="preserve"> </w:t>
            </w:r>
            <w:hyperlink r:id="rId12" w:history="1">
              <w:r w:rsidRPr="002D4E23">
                <w:rPr>
                  <w:rStyle w:val="Hyperlink"/>
                  <w:rFonts w:ascii="Gill Sans MT" w:eastAsia="Times New Roman" w:hAnsi="Gill Sans MT" w:cs="Arial"/>
                  <w:lang w:eastAsia="ar-SA"/>
                </w:rPr>
                <w:t>Somalia.procurement@savethechildren.org</w:t>
              </w:r>
            </w:hyperlink>
            <w:r>
              <w:rPr>
                <w:rFonts w:ascii="Gill Sans MT" w:eastAsia="Times New Roman" w:hAnsi="Gill Sans MT" w:cs="Arial"/>
                <w:color w:val="0563C1" w:themeColor="hyperlink"/>
                <w:u w:val="single"/>
                <w:lang w:eastAsia="ar-SA"/>
              </w:rPr>
              <w:t xml:space="preserve"> </w:t>
            </w:r>
            <w:r w:rsidRPr="002D4E23">
              <w:rPr>
                <w:rFonts w:ascii="Arial" w:hAnsi="Arial" w:cs="Arial"/>
                <w:color w:val="000000" w:themeColor="text1"/>
              </w:rPr>
              <w:t>and expect responses within</w:t>
            </w:r>
            <w:r>
              <w:rPr>
                <w:rFonts w:ascii="Arial" w:hAnsi="Arial" w:cs="Arial"/>
                <w:color w:val="000000" w:themeColor="text1"/>
              </w:rPr>
              <w:t xml:space="preserve"> maximum of</w:t>
            </w:r>
            <w:r w:rsidRPr="002D4E23">
              <w:rPr>
                <w:rFonts w:ascii="Arial" w:hAnsi="Arial" w:cs="Arial"/>
                <w:color w:val="000000" w:themeColor="text1"/>
              </w:rPr>
              <w:t xml:space="preserve"> two working days.</w:t>
            </w:r>
            <w:r>
              <w:rPr>
                <w:rFonts w:ascii="Gill Sans MT" w:eastAsia="Times New Roman" w:hAnsi="Gill Sans MT" w:cs="Arial"/>
                <w:color w:val="0563C1" w:themeColor="hyperlink"/>
                <w:u w:val="single"/>
                <w:lang w:eastAsia="ar-SA"/>
              </w:rPr>
              <w:t xml:space="preserve"> </w:t>
            </w:r>
          </w:p>
          <w:p w14:paraId="14BFF4E2" w14:textId="77777777" w:rsidR="00886058" w:rsidRPr="00BD7C54" w:rsidRDefault="00886058" w:rsidP="003A46CD">
            <w:pPr>
              <w:pStyle w:val="ListParagraph"/>
              <w:numPr>
                <w:ilvl w:val="0"/>
                <w:numId w:val="1"/>
              </w:numPr>
              <w:jc w:val="both"/>
              <w:rPr>
                <w:rFonts w:ascii="Arial" w:eastAsia="Times New Roman" w:hAnsi="Arial" w:cs="Arial"/>
                <w:color w:val="000000" w:themeColor="text1"/>
                <w:lang w:eastAsia="ar-SA"/>
              </w:rPr>
            </w:pPr>
            <w:r w:rsidRPr="00BD7C54">
              <w:rPr>
                <w:rFonts w:ascii="Arial" w:eastAsia="Times New Roman" w:hAnsi="Arial" w:cs="Arial"/>
                <w:color w:val="000000" w:themeColor="text1"/>
                <w:lang w:eastAsia="ar-SA"/>
              </w:rPr>
              <w:t>Note – this is a sealed tender box which will not be opened until the tender has closed. Therefore, do not send tender related questions to this email address as they will not be answered.</w:t>
            </w:r>
          </w:p>
          <w:p w14:paraId="616AEDA5" w14:textId="217C8A63" w:rsidR="00552F70" w:rsidRPr="00E53A3B" w:rsidRDefault="00886058" w:rsidP="00886058">
            <w:pPr>
              <w:jc w:val="both"/>
              <w:rPr>
                <w:rFonts w:ascii="Arial" w:hAnsi="Arial" w:cs="Arial"/>
                <w:b/>
                <w:bCs/>
              </w:rPr>
            </w:pPr>
            <w:r w:rsidRPr="00E53A3B">
              <w:rPr>
                <w:rFonts w:ascii="Arial" w:eastAsia="Times New Roman" w:hAnsi="Arial" w:cs="Arial"/>
                <w:color w:val="000000" w:themeColor="text1"/>
                <w:lang w:eastAsia="ar-SA"/>
              </w:rPr>
              <w:t xml:space="preserve">The subject of the email should </w:t>
            </w:r>
            <w:r w:rsidR="0053196B" w:rsidRPr="00E53A3B">
              <w:rPr>
                <w:rFonts w:ascii="Arial" w:eastAsia="Times New Roman" w:hAnsi="Arial" w:cs="Arial"/>
                <w:color w:val="000000" w:themeColor="text1"/>
                <w:lang w:eastAsia="ar-SA"/>
              </w:rPr>
              <w:t xml:space="preserve">be </w:t>
            </w:r>
            <w:r w:rsidR="0086032F" w:rsidRPr="0086032F">
              <w:rPr>
                <w:rFonts w:ascii="Arial" w:hAnsi="Arial" w:cs="Arial"/>
                <w:b/>
                <w:bCs/>
              </w:rPr>
              <w:t xml:space="preserve">TERMS OF REFERENCE </w:t>
            </w:r>
            <w:r w:rsidR="00552F70" w:rsidRPr="00552F70">
              <w:rPr>
                <w:rFonts w:ascii="Arial" w:hAnsi="Arial" w:cs="Arial"/>
                <w:b/>
                <w:bCs/>
              </w:rPr>
              <w:t xml:space="preserve">FOR CONSULTANCY SERVICE </w:t>
            </w:r>
            <w:r w:rsidR="00A95C6B">
              <w:rPr>
                <w:rFonts w:ascii="Arial" w:hAnsi="Arial" w:cs="Arial"/>
                <w:b/>
                <w:bCs/>
              </w:rPr>
              <w:t>TO</w:t>
            </w:r>
            <w:r w:rsidR="00552F70" w:rsidRPr="00552F70">
              <w:rPr>
                <w:rFonts w:ascii="Arial" w:hAnsi="Arial" w:cs="Arial"/>
                <w:b/>
                <w:bCs/>
              </w:rPr>
              <w:t xml:space="preserve"> CONDUCT A POLITICAL ECONOMY ANALYSIS (PEA) ON CHILD RIGHTS IN SOMALIA</w:t>
            </w:r>
          </w:p>
          <w:p w14:paraId="753FBFF9" w14:textId="77777777" w:rsidR="00886058" w:rsidRPr="00E53A3B" w:rsidRDefault="00886058" w:rsidP="003A46CD">
            <w:pPr>
              <w:pStyle w:val="ListParagraph"/>
              <w:numPr>
                <w:ilvl w:val="0"/>
                <w:numId w:val="1"/>
              </w:numPr>
              <w:jc w:val="both"/>
              <w:rPr>
                <w:rFonts w:ascii="Arial" w:eastAsia="Times New Roman" w:hAnsi="Arial" w:cs="Arial"/>
                <w:color w:val="000000" w:themeColor="text1"/>
                <w:sz w:val="22"/>
                <w:szCs w:val="22"/>
                <w:lang w:eastAsia="ar-SA"/>
              </w:rPr>
            </w:pPr>
            <w:r w:rsidRPr="00E53A3B">
              <w:rPr>
                <w:rFonts w:ascii="Arial" w:eastAsia="Times New Roman" w:hAnsi="Arial" w:cs="Arial"/>
                <w:color w:val="000000" w:themeColor="text1"/>
                <w:sz w:val="22"/>
                <w:szCs w:val="22"/>
                <w:lang w:eastAsia="ar-SA"/>
              </w:rPr>
              <w:t>All attached documents should be clearly labelled so it is clear to understand what each file relates to.</w:t>
            </w:r>
          </w:p>
          <w:p w14:paraId="29B4B4A3" w14:textId="77777777" w:rsidR="00886058" w:rsidRPr="00E53A3B" w:rsidRDefault="00886058" w:rsidP="003A46CD">
            <w:pPr>
              <w:pStyle w:val="ListParagraph"/>
              <w:numPr>
                <w:ilvl w:val="0"/>
                <w:numId w:val="1"/>
              </w:numPr>
              <w:jc w:val="both"/>
              <w:rPr>
                <w:rFonts w:ascii="Arial" w:eastAsia="Times New Roman" w:hAnsi="Arial" w:cs="Arial"/>
                <w:color w:val="000000" w:themeColor="text1"/>
                <w:sz w:val="22"/>
                <w:szCs w:val="22"/>
                <w:lang w:eastAsia="ar-SA"/>
              </w:rPr>
            </w:pPr>
            <w:r w:rsidRPr="00E53A3B">
              <w:rPr>
                <w:rFonts w:ascii="Arial" w:eastAsia="Times New Roman" w:hAnsi="Arial" w:cs="Arial"/>
                <w:color w:val="000000" w:themeColor="text1"/>
                <w:sz w:val="22"/>
                <w:szCs w:val="22"/>
                <w:lang w:eastAsia="ar-SA"/>
              </w:rPr>
              <w:t xml:space="preserve">Emails should not exceed 15mb – if the file sizes are large, please split the submission into two emails.  </w:t>
            </w:r>
          </w:p>
          <w:p w14:paraId="14828A63" w14:textId="77777777" w:rsidR="00886058" w:rsidRPr="00E53A3B" w:rsidRDefault="00886058" w:rsidP="003A46CD">
            <w:pPr>
              <w:pStyle w:val="ListParagraph"/>
              <w:numPr>
                <w:ilvl w:val="0"/>
                <w:numId w:val="1"/>
              </w:numPr>
              <w:jc w:val="both"/>
              <w:rPr>
                <w:rFonts w:ascii="Arial" w:eastAsia="Times New Roman" w:hAnsi="Arial" w:cs="Arial"/>
                <w:color w:val="000000" w:themeColor="text1"/>
                <w:sz w:val="22"/>
                <w:szCs w:val="22"/>
                <w:lang w:eastAsia="ar-SA"/>
              </w:rPr>
            </w:pPr>
            <w:r w:rsidRPr="00E53A3B">
              <w:rPr>
                <w:rFonts w:ascii="Arial" w:eastAsia="Times New Roman" w:hAnsi="Arial" w:cs="Arial"/>
                <w:color w:val="000000" w:themeColor="text1"/>
                <w:sz w:val="22"/>
                <w:szCs w:val="22"/>
                <w:lang w:eastAsia="ar-SA"/>
              </w:rPr>
              <w:t xml:space="preserve">Do not copy other SCI email addresses into the email when you submit it as this will invalidate your bid. </w:t>
            </w:r>
          </w:p>
          <w:p w14:paraId="6F03C224" w14:textId="77777777" w:rsidR="00886058" w:rsidRPr="00BD7C54" w:rsidRDefault="00886058" w:rsidP="00886058">
            <w:pPr>
              <w:spacing w:after="0" w:line="240" w:lineRule="auto"/>
              <w:ind w:left="720"/>
              <w:jc w:val="both"/>
              <w:rPr>
                <w:rFonts w:ascii="Arial" w:eastAsia="Times New Roman" w:hAnsi="Arial" w:cs="Arial"/>
                <w:color w:val="000000" w:themeColor="text1"/>
                <w:sz w:val="24"/>
                <w:szCs w:val="24"/>
                <w:lang w:eastAsia="ar-SA"/>
              </w:rPr>
            </w:pPr>
          </w:p>
          <w:p w14:paraId="561A3D99" w14:textId="7E3BD889" w:rsidR="00886058" w:rsidRPr="00B4615E" w:rsidRDefault="00886058" w:rsidP="00886058">
            <w:pPr>
              <w:jc w:val="both"/>
              <w:rPr>
                <w:rFonts w:ascii="Lato" w:hAnsi="Lato" w:cs="Arial"/>
                <w:color w:val="000000" w:themeColor="text1"/>
                <w:sz w:val="20"/>
                <w:szCs w:val="20"/>
              </w:rPr>
            </w:pPr>
            <w:r w:rsidRPr="005427AE">
              <w:rPr>
                <w:rFonts w:ascii="Arial" w:eastAsia="Times New Roman" w:hAnsi="Arial" w:cs="Arial"/>
                <w:color w:val="000000" w:themeColor="text1"/>
                <w:szCs w:val="21"/>
                <w:lang w:eastAsia="ar-SA"/>
              </w:rPr>
              <w:t>All applications MUST be submitted on or before the closing date below to be considered for the assignment.</w:t>
            </w:r>
            <w:r>
              <w:rPr>
                <w:rFonts w:ascii="Arial" w:eastAsia="Times New Roman" w:hAnsi="Arial" w:cs="Arial"/>
                <w:color w:val="000000" w:themeColor="text1"/>
                <w:szCs w:val="21"/>
                <w:lang w:eastAsia="ar-SA"/>
              </w:rPr>
              <w:t xml:space="preserve"> </w:t>
            </w:r>
            <w:r w:rsidRPr="00BD7C54">
              <w:rPr>
                <w:rFonts w:ascii="Arial" w:eastAsia="Times New Roman" w:hAnsi="Arial" w:cs="Arial"/>
                <w:b/>
                <w:color w:val="000000" w:themeColor="text1"/>
                <w:sz w:val="24"/>
                <w:szCs w:val="24"/>
                <w:lang w:eastAsia="ar-SA"/>
              </w:rPr>
              <w:t>Only shortlisted Candidates will be contacted.</w:t>
            </w:r>
          </w:p>
          <w:p w14:paraId="5EECA755" w14:textId="3B223398" w:rsidR="00886058" w:rsidRPr="000A574E" w:rsidRDefault="00886058" w:rsidP="00886058">
            <w:pPr>
              <w:spacing w:line="240" w:lineRule="auto"/>
              <w:jc w:val="both"/>
              <w:rPr>
                <w:rFonts w:ascii="Lato" w:eastAsia="Times New Roman" w:hAnsi="Lato" w:cs="Arial"/>
                <w:color w:val="000000" w:themeColor="text1"/>
                <w:sz w:val="20"/>
                <w:szCs w:val="20"/>
                <w:lang w:val="en-GB" w:eastAsia="ar-SA"/>
              </w:rPr>
            </w:pPr>
          </w:p>
        </w:tc>
      </w:tr>
      <w:tr w:rsidR="00886058" w:rsidRPr="00D15476" w14:paraId="28062A8A" w14:textId="77777777" w:rsidTr="003A64F4">
        <w:trPr>
          <w:trHeight w:hRule="exact" w:val="676"/>
        </w:trPr>
        <w:tc>
          <w:tcPr>
            <w:tcW w:w="321" w:type="dxa"/>
            <w:tcBorders>
              <w:top w:val="single" w:sz="4" w:space="0" w:color="auto"/>
              <w:bottom w:val="single" w:sz="4" w:space="0" w:color="auto"/>
            </w:tcBorders>
            <w:shd w:val="clear" w:color="auto" w:fill="F2F2F2"/>
          </w:tcPr>
          <w:p w14:paraId="1798841B" w14:textId="344876F4" w:rsidR="00886058" w:rsidRPr="00D15476" w:rsidRDefault="00886058" w:rsidP="00886058">
            <w:pPr>
              <w:spacing w:line="240" w:lineRule="auto"/>
              <w:ind w:hanging="128"/>
              <w:rPr>
                <w:rFonts w:ascii="Lato" w:hAnsi="Lato" w:cs="Arial"/>
                <w:color w:val="000000" w:themeColor="text1"/>
                <w:sz w:val="20"/>
                <w:szCs w:val="20"/>
              </w:rPr>
            </w:pPr>
            <w:r w:rsidRPr="00D15476">
              <w:rPr>
                <w:rFonts w:ascii="Lato" w:hAnsi="Lato" w:cs="Arial"/>
                <w:color w:val="000000" w:themeColor="text1"/>
                <w:sz w:val="20"/>
                <w:szCs w:val="20"/>
              </w:rPr>
              <w:t>1</w:t>
            </w:r>
            <w:r>
              <w:rPr>
                <w:rFonts w:ascii="Lato" w:hAnsi="Lato" w:cs="Arial"/>
                <w:color w:val="000000" w:themeColor="text1"/>
                <w:sz w:val="20"/>
                <w:szCs w:val="20"/>
              </w:rPr>
              <w:t>2</w:t>
            </w:r>
          </w:p>
        </w:tc>
        <w:tc>
          <w:tcPr>
            <w:tcW w:w="2622" w:type="dxa"/>
            <w:tcBorders>
              <w:top w:val="single" w:sz="4" w:space="0" w:color="auto"/>
              <w:bottom w:val="single" w:sz="4" w:space="0" w:color="auto"/>
            </w:tcBorders>
            <w:shd w:val="clear" w:color="auto" w:fill="F2F2F2"/>
          </w:tcPr>
          <w:p w14:paraId="5110B887" w14:textId="77777777" w:rsidR="00886058" w:rsidRPr="00D15476" w:rsidRDefault="00886058" w:rsidP="00886058">
            <w:pPr>
              <w:spacing w:line="240" w:lineRule="auto"/>
              <w:rPr>
                <w:rFonts w:ascii="Lato" w:hAnsi="Lato" w:cs="Arial"/>
                <w:b/>
                <w:color w:val="000000" w:themeColor="text1"/>
                <w:sz w:val="20"/>
                <w:szCs w:val="20"/>
              </w:rPr>
            </w:pPr>
            <w:r w:rsidRPr="00D15476">
              <w:rPr>
                <w:rFonts w:ascii="Lato" w:hAnsi="Lato" w:cs="Arial"/>
                <w:b/>
                <w:color w:val="000000" w:themeColor="text1"/>
                <w:sz w:val="20"/>
                <w:szCs w:val="20"/>
              </w:rPr>
              <w:t>Closing date for Applications</w:t>
            </w:r>
          </w:p>
        </w:tc>
        <w:tc>
          <w:tcPr>
            <w:tcW w:w="7112" w:type="dxa"/>
            <w:gridSpan w:val="2"/>
            <w:tcBorders>
              <w:top w:val="single" w:sz="4" w:space="0" w:color="auto"/>
              <w:bottom w:val="single" w:sz="4" w:space="0" w:color="auto"/>
            </w:tcBorders>
          </w:tcPr>
          <w:p w14:paraId="2884D2F5" w14:textId="7B4FC8E1" w:rsidR="00B454B4" w:rsidRDefault="00886058" w:rsidP="00886058">
            <w:pPr>
              <w:spacing w:after="0" w:line="240" w:lineRule="auto"/>
              <w:jc w:val="both"/>
              <w:rPr>
                <w:rFonts w:ascii="Lato" w:hAnsi="Lato" w:cs="Arial"/>
                <w:b/>
                <w:color w:val="000000" w:themeColor="text1"/>
                <w:sz w:val="24"/>
                <w:szCs w:val="24"/>
              </w:rPr>
            </w:pPr>
            <w:r w:rsidRPr="00BD7C54">
              <w:rPr>
                <w:rFonts w:ascii="Arial" w:hAnsi="Arial" w:cs="Arial"/>
                <w:bCs/>
                <w:color w:val="000000" w:themeColor="text1"/>
                <w:sz w:val="24"/>
                <w:szCs w:val="24"/>
              </w:rPr>
              <w:t xml:space="preserve">Interested consultants shall submit their applications through the above procedures </w:t>
            </w:r>
            <w:r w:rsidR="00B454B4" w:rsidRPr="00067810">
              <w:rPr>
                <w:rFonts w:ascii="Arial" w:hAnsi="Arial" w:cs="Arial"/>
                <w:b/>
                <w:bCs/>
                <w:color w:val="000000" w:themeColor="text1"/>
                <w:sz w:val="24"/>
                <w:szCs w:val="24"/>
              </w:rPr>
              <w:t xml:space="preserve">or before </w:t>
            </w:r>
            <w:r w:rsidR="004871BE">
              <w:rPr>
                <w:rFonts w:ascii="Arial" w:hAnsi="Arial" w:cs="Arial"/>
                <w:b/>
                <w:bCs/>
                <w:color w:val="000000" w:themeColor="text1"/>
                <w:sz w:val="24"/>
                <w:szCs w:val="24"/>
              </w:rPr>
              <w:t>06</w:t>
            </w:r>
            <w:r w:rsidR="004871BE" w:rsidRPr="004871BE">
              <w:rPr>
                <w:rFonts w:ascii="Arial" w:hAnsi="Arial" w:cs="Arial"/>
                <w:b/>
                <w:bCs/>
                <w:color w:val="000000" w:themeColor="text1"/>
                <w:sz w:val="24"/>
                <w:szCs w:val="24"/>
                <w:vertAlign w:val="superscript"/>
              </w:rPr>
              <w:t>th</w:t>
            </w:r>
            <w:r w:rsidR="004871BE">
              <w:rPr>
                <w:rFonts w:ascii="Arial" w:hAnsi="Arial" w:cs="Arial"/>
                <w:b/>
                <w:bCs/>
                <w:color w:val="000000" w:themeColor="text1"/>
                <w:sz w:val="24"/>
                <w:szCs w:val="24"/>
              </w:rPr>
              <w:t xml:space="preserve"> June</w:t>
            </w:r>
            <w:r w:rsidR="00B454B4">
              <w:rPr>
                <w:rFonts w:ascii="Arial" w:hAnsi="Arial" w:cs="Arial"/>
                <w:b/>
                <w:bCs/>
                <w:color w:val="000000" w:themeColor="text1"/>
                <w:sz w:val="24"/>
                <w:szCs w:val="24"/>
              </w:rPr>
              <w:t xml:space="preserve"> </w:t>
            </w:r>
            <w:r w:rsidR="00B454B4" w:rsidRPr="00067810">
              <w:rPr>
                <w:rFonts w:ascii="Arial" w:hAnsi="Arial" w:cs="Arial"/>
                <w:b/>
                <w:bCs/>
                <w:color w:val="000000" w:themeColor="text1"/>
                <w:sz w:val="24"/>
                <w:szCs w:val="24"/>
              </w:rPr>
              <w:t>202</w:t>
            </w:r>
            <w:r w:rsidR="00B454B4">
              <w:rPr>
                <w:rFonts w:ascii="Arial" w:hAnsi="Arial" w:cs="Arial"/>
                <w:b/>
                <w:bCs/>
                <w:color w:val="000000" w:themeColor="text1"/>
                <w:sz w:val="24"/>
                <w:szCs w:val="24"/>
              </w:rPr>
              <w:t>6, EAT</w:t>
            </w:r>
            <w:r w:rsidR="001B5C03">
              <w:rPr>
                <w:rFonts w:ascii="Arial" w:hAnsi="Arial" w:cs="Arial"/>
                <w:b/>
                <w:bCs/>
                <w:color w:val="000000" w:themeColor="text1"/>
                <w:sz w:val="24"/>
                <w:szCs w:val="24"/>
              </w:rPr>
              <w:t>.</w:t>
            </w:r>
          </w:p>
          <w:p w14:paraId="09840024" w14:textId="601B918C" w:rsidR="00B454B4" w:rsidRPr="00D15476" w:rsidRDefault="00B454B4" w:rsidP="00886058">
            <w:pPr>
              <w:spacing w:after="0" w:line="240" w:lineRule="auto"/>
              <w:jc w:val="both"/>
              <w:rPr>
                <w:rFonts w:ascii="Lato" w:hAnsi="Lato" w:cs="Arial"/>
                <w:b/>
                <w:color w:val="000000" w:themeColor="text1"/>
                <w:sz w:val="20"/>
                <w:szCs w:val="20"/>
              </w:rPr>
            </w:pPr>
          </w:p>
        </w:tc>
      </w:tr>
    </w:tbl>
    <w:p w14:paraId="3303CE15" w14:textId="7E78A759" w:rsidR="00AD266A" w:rsidRPr="00D15476" w:rsidRDefault="00B11F12" w:rsidP="00AD266A">
      <w:pPr>
        <w:pStyle w:val="BodyText"/>
        <w:rPr>
          <w:rFonts w:ascii="Lato" w:hAnsi="Lato" w:cs="Arial"/>
          <w:b/>
          <w:sz w:val="20"/>
          <w:szCs w:val="20"/>
        </w:rPr>
      </w:pPr>
      <w:r w:rsidRPr="00D15476">
        <w:rPr>
          <w:rFonts w:ascii="Lato" w:hAnsi="Lato" w:cs="Arial"/>
          <w:b/>
          <w:sz w:val="20"/>
          <w:szCs w:val="20"/>
        </w:rPr>
        <w:br w:type="textWrapping" w:clear="all"/>
      </w:r>
    </w:p>
    <w:tbl>
      <w:tblPr>
        <w:tblStyle w:val="TableGrid"/>
        <w:tblW w:w="10170" w:type="dxa"/>
        <w:tblInd w:w="-5" w:type="dxa"/>
        <w:tblLook w:val="04A0" w:firstRow="1" w:lastRow="0" w:firstColumn="1" w:lastColumn="0" w:noHBand="0" w:noVBand="1"/>
      </w:tblPr>
      <w:tblGrid>
        <w:gridCol w:w="5825"/>
        <w:gridCol w:w="2680"/>
        <w:gridCol w:w="1665"/>
      </w:tblGrid>
      <w:tr w:rsidR="00AD266A" w:rsidRPr="00D15476" w14:paraId="5CA7C79D" w14:textId="77777777" w:rsidTr="00775278">
        <w:trPr>
          <w:trHeight w:val="373"/>
        </w:trPr>
        <w:tc>
          <w:tcPr>
            <w:tcW w:w="10170" w:type="dxa"/>
            <w:gridSpan w:val="3"/>
            <w:shd w:val="clear" w:color="auto" w:fill="FF0000"/>
            <w:vAlign w:val="center"/>
          </w:tcPr>
          <w:p w14:paraId="3405C6C8" w14:textId="77777777" w:rsidR="00AD266A" w:rsidRPr="00D15476" w:rsidRDefault="00AD266A" w:rsidP="005717BE">
            <w:pPr>
              <w:spacing w:after="0" w:line="240" w:lineRule="auto"/>
              <w:rPr>
                <w:rFonts w:ascii="Lato" w:hAnsi="Lato" w:cs="Arial"/>
                <w:b/>
                <w:sz w:val="20"/>
                <w:szCs w:val="20"/>
              </w:rPr>
            </w:pPr>
            <w:r w:rsidRPr="00D15476">
              <w:rPr>
                <w:rFonts w:ascii="Lato" w:hAnsi="Lato" w:cs="Arial"/>
                <w:b/>
                <w:sz w:val="20"/>
                <w:szCs w:val="20"/>
              </w:rPr>
              <w:t>We, the Bidder, hereby confirm we compliance with the following policies and requirements:</w:t>
            </w:r>
          </w:p>
        </w:tc>
      </w:tr>
      <w:tr w:rsidR="00AD266A" w:rsidRPr="00D15476" w14:paraId="70CB7B82" w14:textId="77777777" w:rsidTr="00AC3246">
        <w:trPr>
          <w:trHeight w:val="200"/>
        </w:trPr>
        <w:tc>
          <w:tcPr>
            <w:tcW w:w="5825" w:type="dxa"/>
            <w:shd w:val="clear" w:color="auto" w:fill="D9D9D9" w:themeFill="background1" w:themeFillShade="D9"/>
            <w:vAlign w:val="center"/>
          </w:tcPr>
          <w:p w14:paraId="2BA1AD86" w14:textId="77777777" w:rsidR="00AD266A" w:rsidRPr="00D15476" w:rsidRDefault="00AD266A" w:rsidP="005717BE">
            <w:pPr>
              <w:spacing w:after="0" w:line="240" w:lineRule="auto"/>
              <w:jc w:val="center"/>
              <w:rPr>
                <w:rFonts w:ascii="Lato" w:hAnsi="Lato" w:cs="Arial"/>
                <w:b/>
                <w:sz w:val="20"/>
                <w:szCs w:val="20"/>
              </w:rPr>
            </w:pPr>
            <w:r w:rsidRPr="00D15476">
              <w:rPr>
                <w:rFonts w:ascii="Lato" w:hAnsi="Lato" w:cs="Arial"/>
                <w:b/>
                <w:sz w:val="20"/>
                <w:szCs w:val="20"/>
              </w:rPr>
              <w:t>Policy</w:t>
            </w:r>
          </w:p>
        </w:tc>
        <w:tc>
          <w:tcPr>
            <w:tcW w:w="2680" w:type="dxa"/>
            <w:shd w:val="clear" w:color="auto" w:fill="D9D9D9" w:themeFill="background1" w:themeFillShade="D9"/>
            <w:vAlign w:val="center"/>
          </w:tcPr>
          <w:p w14:paraId="748ABF33" w14:textId="77777777" w:rsidR="00AD266A" w:rsidRPr="00D15476" w:rsidRDefault="00AD266A" w:rsidP="005717BE">
            <w:pPr>
              <w:spacing w:after="0" w:line="240" w:lineRule="auto"/>
              <w:jc w:val="center"/>
              <w:rPr>
                <w:rFonts w:ascii="Lato" w:hAnsi="Lato" w:cs="Arial"/>
                <w:b/>
                <w:sz w:val="20"/>
                <w:szCs w:val="20"/>
              </w:rPr>
            </w:pPr>
            <w:r w:rsidRPr="00D15476">
              <w:rPr>
                <w:rFonts w:ascii="Lato" w:hAnsi="Lato" w:cs="Arial"/>
                <w:b/>
                <w:sz w:val="20"/>
                <w:szCs w:val="20"/>
              </w:rPr>
              <w:t>Policy / Document</w:t>
            </w:r>
          </w:p>
        </w:tc>
        <w:tc>
          <w:tcPr>
            <w:tcW w:w="1665" w:type="dxa"/>
            <w:shd w:val="clear" w:color="auto" w:fill="D9D9D9" w:themeFill="background1" w:themeFillShade="D9"/>
            <w:vAlign w:val="center"/>
          </w:tcPr>
          <w:p w14:paraId="09D5F959" w14:textId="77777777" w:rsidR="00AD266A" w:rsidRPr="00D15476" w:rsidRDefault="00AD266A" w:rsidP="005717BE">
            <w:pPr>
              <w:spacing w:after="0" w:line="240" w:lineRule="auto"/>
              <w:jc w:val="center"/>
              <w:rPr>
                <w:rFonts w:ascii="Lato" w:hAnsi="Lato" w:cs="Arial"/>
                <w:b/>
                <w:sz w:val="20"/>
                <w:szCs w:val="20"/>
              </w:rPr>
            </w:pPr>
            <w:r w:rsidRPr="00D15476">
              <w:rPr>
                <w:rFonts w:ascii="Lato" w:hAnsi="Lato" w:cs="Arial"/>
                <w:b/>
                <w:sz w:val="20"/>
                <w:szCs w:val="20"/>
              </w:rPr>
              <w:t>Signature</w:t>
            </w:r>
          </w:p>
        </w:tc>
      </w:tr>
      <w:tr w:rsidR="003A64B1" w:rsidRPr="00D15476" w14:paraId="78C3EE3C" w14:textId="77777777" w:rsidTr="00AC3246">
        <w:trPr>
          <w:trHeight w:val="744"/>
        </w:trPr>
        <w:tc>
          <w:tcPr>
            <w:tcW w:w="5825" w:type="dxa"/>
            <w:vAlign w:val="center"/>
          </w:tcPr>
          <w:p w14:paraId="494E2290" w14:textId="77777777" w:rsidR="003A64B1" w:rsidRPr="00D15476" w:rsidRDefault="003A64B1" w:rsidP="004C1966">
            <w:pPr>
              <w:spacing w:after="0" w:line="240" w:lineRule="auto"/>
              <w:rPr>
                <w:rFonts w:ascii="Lato" w:hAnsi="Lato" w:cs="Arial"/>
                <w:sz w:val="20"/>
                <w:szCs w:val="20"/>
              </w:rPr>
            </w:pPr>
            <w:r w:rsidRPr="00D15476">
              <w:rPr>
                <w:rFonts w:ascii="Lato" w:hAnsi="Lato" w:cs="Arial"/>
                <w:sz w:val="20"/>
                <w:szCs w:val="20"/>
              </w:rPr>
              <w:t>Terms &amp; Conditions of Bidding</w:t>
            </w:r>
          </w:p>
        </w:tc>
        <w:tc>
          <w:tcPr>
            <w:tcW w:w="2680" w:type="dxa"/>
            <w:vAlign w:val="center"/>
          </w:tcPr>
          <w:p w14:paraId="5590BD5C" w14:textId="4E8A0E95" w:rsidR="003A64B1" w:rsidRPr="00D15476" w:rsidRDefault="00A017F3" w:rsidP="005717BE">
            <w:pPr>
              <w:spacing w:after="0" w:line="240" w:lineRule="auto"/>
              <w:jc w:val="center"/>
              <w:rPr>
                <w:rFonts w:ascii="Lato" w:hAnsi="Lato" w:cs="Arial"/>
                <w:sz w:val="20"/>
                <w:szCs w:val="20"/>
              </w:rPr>
            </w:pPr>
            <w:r w:rsidRPr="00D15476">
              <w:rPr>
                <w:rFonts w:ascii="Lato" w:hAnsi="Lato" w:cs="Arial"/>
                <w:i/>
                <w:noProof/>
                <w:sz w:val="20"/>
                <w:szCs w:val="20"/>
              </w:rPr>
              <w:object w:dxaOrig="1311" w:dyaOrig="819" w14:anchorId="716E6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85pt;height:43.4pt" o:ole="">
                  <v:imagedata r:id="rId13" o:title=""/>
                </v:shape>
                <o:OLEObject Type="Embed" ProgID="AcroExch.Document.7" ShapeID="_x0000_i1025" DrawAspect="Icon" ObjectID="_1841228964" r:id="rId14"/>
              </w:object>
            </w:r>
          </w:p>
        </w:tc>
        <w:tc>
          <w:tcPr>
            <w:tcW w:w="1665" w:type="dxa"/>
            <w:vMerge w:val="restart"/>
            <w:vAlign w:val="center"/>
          </w:tcPr>
          <w:p w14:paraId="2CBD6477" w14:textId="77777777" w:rsidR="003A64B1" w:rsidRPr="00D15476" w:rsidRDefault="003A64B1" w:rsidP="005717BE">
            <w:pPr>
              <w:tabs>
                <w:tab w:val="left" w:pos="426"/>
                <w:tab w:val="left" w:pos="993"/>
              </w:tabs>
              <w:spacing w:after="0" w:line="240" w:lineRule="auto"/>
              <w:ind w:left="349"/>
              <w:rPr>
                <w:rFonts w:ascii="Lato" w:hAnsi="Lato" w:cs="Arial"/>
                <w:sz w:val="20"/>
                <w:szCs w:val="20"/>
              </w:rPr>
            </w:pPr>
          </w:p>
        </w:tc>
      </w:tr>
      <w:tr w:rsidR="003A64B1" w:rsidRPr="00D15476" w14:paraId="26435CAE" w14:textId="77777777" w:rsidTr="00AC3246">
        <w:trPr>
          <w:trHeight w:val="429"/>
        </w:trPr>
        <w:tc>
          <w:tcPr>
            <w:tcW w:w="5825" w:type="dxa"/>
            <w:vAlign w:val="center"/>
          </w:tcPr>
          <w:p w14:paraId="0F977F2B" w14:textId="77777777" w:rsidR="003A64B1" w:rsidRPr="00D15476" w:rsidRDefault="003A64B1" w:rsidP="004C1966">
            <w:pPr>
              <w:spacing w:after="0" w:line="240" w:lineRule="auto"/>
              <w:rPr>
                <w:rFonts w:ascii="Lato" w:hAnsi="Lato" w:cs="Arial"/>
                <w:sz w:val="20"/>
                <w:szCs w:val="20"/>
              </w:rPr>
            </w:pPr>
            <w:r w:rsidRPr="00D15476">
              <w:rPr>
                <w:rFonts w:ascii="Lato" w:hAnsi="Lato" w:cs="Arial"/>
                <w:sz w:val="20"/>
                <w:szCs w:val="20"/>
              </w:rPr>
              <w:t>Supplier Sustainability Policy</w:t>
            </w:r>
          </w:p>
          <w:p w14:paraId="41F64267" w14:textId="77777777" w:rsidR="003A64B1" w:rsidRPr="00D15476" w:rsidRDefault="003A64B1" w:rsidP="004C1966">
            <w:pPr>
              <w:spacing w:after="0" w:line="240" w:lineRule="auto"/>
              <w:rPr>
                <w:rFonts w:ascii="Lato" w:hAnsi="Lato" w:cs="Arial"/>
                <w:sz w:val="20"/>
                <w:szCs w:val="20"/>
              </w:rPr>
            </w:pPr>
            <w:r w:rsidRPr="00D15476">
              <w:rPr>
                <w:rFonts w:ascii="Lato" w:hAnsi="Lato" w:cs="Arial"/>
                <w:sz w:val="20"/>
                <w:szCs w:val="20"/>
              </w:rPr>
              <w:t>and the included mandatory policies</w:t>
            </w:r>
          </w:p>
        </w:tc>
        <w:tc>
          <w:tcPr>
            <w:tcW w:w="2680" w:type="dxa"/>
            <w:vAlign w:val="center"/>
          </w:tcPr>
          <w:p w14:paraId="1F5E4296" w14:textId="7392F45B" w:rsidR="003A64B1" w:rsidRPr="00D15476" w:rsidRDefault="003A64B1" w:rsidP="00405004">
            <w:pPr>
              <w:spacing w:after="0" w:line="240" w:lineRule="auto"/>
              <w:rPr>
                <w:rFonts w:ascii="Lato" w:hAnsi="Lato" w:cs="Arial"/>
                <w:sz w:val="20"/>
                <w:szCs w:val="20"/>
                <w:highlight w:val="yellow"/>
              </w:rPr>
            </w:pPr>
            <w:hyperlink r:id="rId15" w:history="1">
              <w:r w:rsidRPr="00C068F3">
                <w:rPr>
                  <w:rStyle w:val="Hyperlink"/>
                  <w:rFonts w:ascii="Lato" w:hAnsi="Lato" w:cs="Arial"/>
                  <w:sz w:val="20"/>
                  <w:szCs w:val="20"/>
                </w:rPr>
                <w:t>Click Here to Access</w:t>
              </w:r>
            </w:hyperlink>
          </w:p>
        </w:tc>
        <w:tc>
          <w:tcPr>
            <w:tcW w:w="1665" w:type="dxa"/>
            <w:vMerge/>
            <w:vAlign w:val="center"/>
          </w:tcPr>
          <w:p w14:paraId="7E2D2DCF" w14:textId="77777777" w:rsidR="003A64B1" w:rsidRPr="00D15476" w:rsidRDefault="003A64B1" w:rsidP="005717BE">
            <w:pPr>
              <w:spacing w:after="0" w:line="240" w:lineRule="auto"/>
              <w:jc w:val="center"/>
              <w:rPr>
                <w:rFonts w:ascii="Lato" w:hAnsi="Lato" w:cs="Arial"/>
                <w:sz w:val="20"/>
                <w:szCs w:val="20"/>
              </w:rPr>
            </w:pPr>
          </w:p>
        </w:tc>
      </w:tr>
    </w:tbl>
    <w:p w14:paraId="01474A12" w14:textId="77777777" w:rsidR="00AD266A" w:rsidRPr="00D15476" w:rsidRDefault="00AD266A" w:rsidP="00AD266A">
      <w:pPr>
        <w:pStyle w:val="paragraph"/>
        <w:spacing w:before="0" w:beforeAutospacing="0" w:after="0" w:afterAutospacing="0"/>
        <w:ind w:right="45"/>
        <w:jc w:val="both"/>
        <w:textAlignment w:val="baseline"/>
        <w:rPr>
          <w:rStyle w:val="scxw63843710"/>
          <w:rFonts w:ascii="Lato" w:hAnsi="Lato" w:cs="Arial"/>
          <w:sz w:val="20"/>
          <w:szCs w:val="20"/>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8721"/>
      </w:tblGrid>
      <w:tr w:rsidR="00AD266A" w:rsidRPr="00D15476" w14:paraId="083C83CE" w14:textId="77777777" w:rsidTr="005717BE">
        <w:trPr>
          <w:trHeight w:val="592"/>
        </w:trPr>
        <w:tc>
          <w:tcPr>
            <w:tcW w:w="10778" w:type="dxa"/>
            <w:gridSpan w:val="2"/>
          </w:tcPr>
          <w:p w14:paraId="26F13343" w14:textId="77777777" w:rsidR="00AD266A" w:rsidRPr="00D15476" w:rsidRDefault="00AD266A" w:rsidP="005717BE">
            <w:pPr>
              <w:pStyle w:val="paragraph"/>
              <w:spacing w:before="0" w:beforeAutospacing="0" w:after="0" w:afterAutospacing="0"/>
              <w:jc w:val="both"/>
              <w:textAlignment w:val="baseline"/>
              <w:rPr>
                <w:rStyle w:val="eop"/>
                <w:rFonts w:ascii="Lato" w:hAnsi="Lato" w:cs="Arial"/>
                <w:sz w:val="20"/>
                <w:szCs w:val="20"/>
              </w:rPr>
            </w:pPr>
            <w:r w:rsidRPr="00D15476">
              <w:rPr>
                <w:rStyle w:val="normaltextrun"/>
                <w:rFonts w:ascii="Lato" w:hAnsi="Lato" w:cs="Arial"/>
                <w:sz w:val="20"/>
                <w:szCs w:val="20"/>
              </w:rPr>
              <w:t>We confirm that Save the Children may in its consideration of our offer, and subsequently, rely on the statements made herein.</w:t>
            </w:r>
            <w:r w:rsidRPr="00D15476">
              <w:rPr>
                <w:rStyle w:val="eop"/>
                <w:rFonts w:ascii="Lato" w:hAnsi="Lato" w:cs="Arial"/>
                <w:sz w:val="20"/>
                <w:szCs w:val="20"/>
              </w:rPr>
              <w:t> </w:t>
            </w:r>
          </w:p>
          <w:p w14:paraId="0E4856F4" w14:textId="77777777" w:rsidR="00AD266A" w:rsidRPr="00D15476" w:rsidRDefault="00AD266A" w:rsidP="005717BE">
            <w:pPr>
              <w:pStyle w:val="paragraph"/>
              <w:spacing w:before="0" w:beforeAutospacing="0" w:after="0" w:afterAutospacing="0"/>
              <w:jc w:val="both"/>
              <w:textAlignment w:val="baseline"/>
              <w:rPr>
                <w:rStyle w:val="scxw63843710"/>
                <w:rFonts w:ascii="Lato" w:hAnsi="Lato" w:cs="Arial"/>
                <w:sz w:val="20"/>
                <w:szCs w:val="20"/>
              </w:rPr>
            </w:pPr>
          </w:p>
        </w:tc>
      </w:tr>
      <w:tr w:rsidR="00AD266A" w:rsidRPr="00D15476" w14:paraId="75F242BF" w14:textId="77777777" w:rsidTr="005717BE">
        <w:trPr>
          <w:trHeight w:val="494"/>
        </w:trPr>
        <w:tc>
          <w:tcPr>
            <w:tcW w:w="2057" w:type="dxa"/>
          </w:tcPr>
          <w:p w14:paraId="149937AA"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Signature:</w:t>
            </w:r>
          </w:p>
        </w:tc>
        <w:tc>
          <w:tcPr>
            <w:tcW w:w="8721" w:type="dxa"/>
          </w:tcPr>
          <w:p w14:paraId="54F92AF8"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2D85F557" w14:textId="77777777" w:rsidTr="005717BE">
        <w:trPr>
          <w:trHeight w:val="528"/>
        </w:trPr>
        <w:tc>
          <w:tcPr>
            <w:tcW w:w="2057" w:type="dxa"/>
          </w:tcPr>
          <w:p w14:paraId="69F78907"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Name:</w:t>
            </w:r>
          </w:p>
        </w:tc>
        <w:tc>
          <w:tcPr>
            <w:tcW w:w="8721" w:type="dxa"/>
          </w:tcPr>
          <w:p w14:paraId="5850C442"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14FBF637" w14:textId="77777777" w:rsidTr="005717BE">
        <w:trPr>
          <w:trHeight w:val="549"/>
        </w:trPr>
        <w:tc>
          <w:tcPr>
            <w:tcW w:w="2057" w:type="dxa"/>
          </w:tcPr>
          <w:p w14:paraId="0721CA86"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Title:</w:t>
            </w:r>
          </w:p>
        </w:tc>
        <w:tc>
          <w:tcPr>
            <w:tcW w:w="8721" w:type="dxa"/>
          </w:tcPr>
          <w:p w14:paraId="366327D5"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38C5BCEA" w14:textId="77777777" w:rsidTr="005717BE">
        <w:trPr>
          <w:trHeight w:val="531"/>
        </w:trPr>
        <w:tc>
          <w:tcPr>
            <w:tcW w:w="2057" w:type="dxa"/>
          </w:tcPr>
          <w:p w14:paraId="21215BAC"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lastRenderedPageBreak/>
              <w:t>Company:</w:t>
            </w:r>
          </w:p>
        </w:tc>
        <w:tc>
          <w:tcPr>
            <w:tcW w:w="8721" w:type="dxa"/>
          </w:tcPr>
          <w:p w14:paraId="17C69819"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r w:rsidR="00AD266A" w:rsidRPr="00D15476" w14:paraId="4F2F0A12" w14:textId="77777777" w:rsidTr="005717BE">
        <w:trPr>
          <w:trHeight w:val="525"/>
        </w:trPr>
        <w:tc>
          <w:tcPr>
            <w:tcW w:w="2057" w:type="dxa"/>
          </w:tcPr>
          <w:p w14:paraId="14ED41F0"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Date:</w:t>
            </w:r>
          </w:p>
        </w:tc>
        <w:tc>
          <w:tcPr>
            <w:tcW w:w="8721" w:type="dxa"/>
          </w:tcPr>
          <w:p w14:paraId="6D07615C" w14:textId="77777777" w:rsidR="00AD266A" w:rsidRPr="00D15476" w:rsidRDefault="00AD266A" w:rsidP="005717BE">
            <w:pPr>
              <w:pStyle w:val="paragraph"/>
              <w:spacing w:before="0" w:beforeAutospacing="0" w:after="0" w:afterAutospacing="0"/>
              <w:ind w:right="45"/>
              <w:jc w:val="both"/>
              <w:textAlignment w:val="baseline"/>
              <w:rPr>
                <w:rStyle w:val="scxw63843710"/>
                <w:rFonts w:ascii="Lato" w:hAnsi="Lato" w:cs="Arial"/>
                <w:sz w:val="20"/>
                <w:szCs w:val="20"/>
              </w:rPr>
            </w:pPr>
            <w:r w:rsidRPr="00D15476">
              <w:rPr>
                <w:rStyle w:val="scxw63843710"/>
                <w:rFonts w:ascii="Lato" w:hAnsi="Lato" w:cs="Arial"/>
                <w:sz w:val="20"/>
                <w:szCs w:val="20"/>
              </w:rPr>
              <w:t>…………………………………………………..</w:t>
            </w:r>
          </w:p>
        </w:tc>
      </w:tr>
    </w:tbl>
    <w:p w14:paraId="3E5AE67A" w14:textId="77777777" w:rsidR="00C47440" w:rsidRDefault="00C47440" w:rsidP="002E4BFC">
      <w:pPr>
        <w:rPr>
          <w:rFonts w:ascii="Lato" w:hAnsi="Lato"/>
          <w:b/>
          <w:bCs/>
          <w:sz w:val="20"/>
          <w:szCs w:val="20"/>
          <w:u w:val="single"/>
        </w:rPr>
      </w:pPr>
    </w:p>
    <w:p w14:paraId="41B18E83" w14:textId="77777777" w:rsidR="00C47440" w:rsidRDefault="00C47440" w:rsidP="00EF3584">
      <w:pPr>
        <w:jc w:val="center"/>
        <w:rPr>
          <w:rFonts w:ascii="Lato" w:hAnsi="Lato"/>
          <w:b/>
          <w:bCs/>
          <w:sz w:val="20"/>
          <w:szCs w:val="20"/>
          <w:u w:val="single"/>
        </w:rPr>
      </w:pPr>
    </w:p>
    <w:p w14:paraId="1D1B4EA5" w14:textId="77777777" w:rsidR="00C67662" w:rsidRDefault="00C67662" w:rsidP="00C67662">
      <w:pPr>
        <w:autoSpaceDE w:val="0"/>
        <w:autoSpaceDN w:val="0"/>
        <w:adjustRightInd w:val="0"/>
        <w:spacing w:after="0"/>
        <w:jc w:val="both"/>
        <w:rPr>
          <w:rFonts w:ascii="Times New Roman" w:hAnsi="Times New Roman"/>
          <w:b/>
          <w:bCs/>
        </w:rPr>
      </w:pPr>
    </w:p>
    <w:p w14:paraId="006A9404" w14:textId="77777777" w:rsidR="001A3B97" w:rsidRDefault="001A3B97" w:rsidP="00C67662">
      <w:pPr>
        <w:autoSpaceDE w:val="0"/>
        <w:autoSpaceDN w:val="0"/>
        <w:adjustRightInd w:val="0"/>
        <w:spacing w:after="0"/>
        <w:jc w:val="both"/>
        <w:rPr>
          <w:rFonts w:ascii="Times New Roman" w:hAnsi="Times New Roman"/>
          <w:b/>
          <w:bCs/>
        </w:rPr>
      </w:pPr>
    </w:p>
    <w:p w14:paraId="596FD2EA" w14:textId="77777777" w:rsidR="001A3B97" w:rsidRDefault="001A3B97" w:rsidP="00C67662">
      <w:pPr>
        <w:autoSpaceDE w:val="0"/>
        <w:autoSpaceDN w:val="0"/>
        <w:adjustRightInd w:val="0"/>
        <w:spacing w:after="0"/>
        <w:jc w:val="both"/>
        <w:rPr>
          <w:rFonts w:ascii="Times New Roman" w:hAnsi="Times New Roman"/>
          <w:b/>
          <w:bCs/>
        </w:rPr>
      </w:pPr>
    </w:p>
    <w:p w14:paraId="0F1CD3E7" w14:textId="77777777" w:rsidR="001A3B97" w:rsidRDefault="001A3B97" w:rsidP="00C67662">
      <w:pPr>
        <w:autoSpaceDE w:val="0"/>
        <w:autoSpaceDN w:val="0"/>
        <w:adjustRightInd w:val="0"/>
        <w:spacing w:after="0"/>
        <w:jc w:val="both"/>
        <w:rPr>
          <w:rFonts w:ascii="Times New Roman" w:hAnsi="Times New Roman"/>
          <w:b/>
          <w:bCs/>
        </w:rPr>
      </w:pPr>
    </w:p>
    <w:p w14:paraId="149B4247" w14:textId="77777777" w:rsidR="001A3B97" w:rsidRDefault="001A3B97" w:rsidP="00C67662">
      <w:pPr>
        <w:autoSpaceDE w:val="0"/>
        <w:autoSpaceDN w:val="0"/>
        <w:adjustRightInd w:val="0"/>
        <w:spacing w:after="0"/>
        <w:jc w:val="both"/>
        <w:rPr>
          <w:rFonts w:ascii="Times New Roman" w:hAnsi="Times New Roman"/>
          <w:b/>
          <w:bCs/>
        </w:rPr>
      </w:pPr>
    </w:p>
    <w:p w14:paraId="789D6D63" w14:textId="77777777" w:rsidR="001A3B97" w:rsidRDefault="001A3B97" w:rsidP="00C67662">
      <w:pPr>
        <w:autoSpaceDE w:val="0"/>
        <w:autoSpaceDN w:val="0"/>
        <w:adjustRightInd w:val="0"/>
        <w:spacing w:after="0"/>
        <w:jc w:val="both"/>
        <w:rPr>
          <w:rFonts w:ascii="Times New Roman" w:hAnsi="Times New Roman"/>
          <w:b/>
          <w:bCs/>
        </w:rPr>
      </w:pPr>
    </w:p>
    <w:p w14:paraId="52FF7949" w14:textId="77777777" w:rsidR="001A3B97" w:rsidRDefault="001A3B97" w:rsidP="00C67662">
      <w:pPr>
        <w:autoSpaceDE w:val="0"/>
        <w:autoSpaceDN w:val="0"/>
        <w:adjustRightInd w:val="0"/>
        <w:spacing w:after="0"/>
        <w:jc w:val="both"/>
        <w:rPr>
          <w:rFonts w:ascii="Times New Roman" w:hAnsi="Times New Roman"/>
          <w:b/>
          <w:bCs/>
        </w:rPr>
      </w:pPr>
    </w:p>
    <w:p w14:paraId="09A5D296" w14:textId="77777777" w:rsidR="001A3B97" w:rsidRDefault="001A3B97" w:rsidP="00C67662">
      <w:pPr>
        <w:autoSpaceDE w:val="0"/>
        <w:autoSpaceDN w:val="0"/>
        <w:adjustRightInd w:val="0"/>
        <w:spacing w:after="0"/>
        <w:jc w:val="both"/>
        <w:rPr>
          <w:rFonts w:ascii="Times New Roman" w:hAnsi="Times New Roman"/>
          <w:b/>
          <w:bCs/>
        </w:rPr>
      </w:pPr>
    </w:p>
    <w:p w14:paraId="5F58BA71" w14:textId="77777777" w:rsidR="001A3B97" w:rsidRDefault="001A3B97" w:rsidP="00C67662">
      <w:pPr>
        <w:autoSpaceDE w:val="0"/>
        <w:autoSpaceDN w:val="0"/>
        <w:adjustRightInd w:val="0"/>
        <w:spacing w:after="0"/>
        <w:jc w:val="both"/>
        <w:rPr>
          <w:rFonts w:ascii="Times New Roman" w:hAnsi="Times New Roman"/>
          <w:b/>
          <w:bCs/>
        </w:rPr>
      </w:pPr>
    </w:p>
    <w:p w14:paraId="0755EFDB" w14:textId="77777777" w:rsidR="001A3B97" w:rsidRDefault="001A3B97" w:rsidP="00C67662">
      <w:pPr>
        <w:autoSpaceDE w:val="0"/>
        <w:autoSpaceDN w:val="0"/>
        <w:adjustRightInd w:val="0"/>
        <w:spacing w:after="0"/>
        <w:jc w:val="both"/>
        <w:rPr>
          <w:rFonts w:ascii="Times New Roman" w:hAnsi="Times New Roman"/>
          <w:b/>
          <w:bCs/>
        </w:rPr>
      </w:pPr>
    </w:p>
    <w:p w14:paraId="3E8C621C" w14:textId="77777777" w:rsidR="001A3B97" w:rsidRDefault="001A3B97" w:rsidP="00C67662">
      <w:pPr>
        <w:autoSpaceDE w:val="0"/>
        <w:autoSpaceDN w:val="0"/>
        <w:adjustRightInd w:val="0"/>
        <w:spacing w:after="0"/>
        <w:jc w:val="both"/>
        <w:rPr>
          <w:rFonts w:ascii="Times New Roman" w:hAnsi="Times New Roman"/>
          <w:b/>
          <w:bCs/>
        </w:rPr>
      </w:pPr>
    </w:p>
    <w:p w14:paraId="55E47AE8" w14:textId="77777777" w:rsidR="001A3B97" w:rsidRDefault="001A3B97" w:rsidP="00C67662">
      <w:pPr>
        <w:autoSpaceDE w:val="0"/>
        <w:autoSpaceDN w:val="0"/>
        <w:adjustRightInd w:val="0"/>
        <w:spacing w:after="0"/>
        <w:jc w:val="both"/>
        <w:rPr>
          <w:rFonts w:ascii="Times New Roman" w:hAnsi="Times New Roman"/>
          <w:b/>
          <w:bCs/>
        </w:rPr>
      </w:pPr>
    </w:p>
    <w:p w14:paraId="35A014E3" w14:textId="77777777" w:rsidR="001A3B97" w:rsidRDefault="001A3B97" w:rsidP="00C67662">
      <w:pPr>
        <w:autoSpaceDE w:val="0"/>
        <w:autoSpaceDN w:val="0"/>
        <w:adjustRightInd w:val="0"/>
        <w:spacing w:after="0"/>
        <w:jc w:val="both"/>
        <w:rPr>
          <w:rFonts w:ascii="Times New Roman" w:hAnsi="Times New Roman"/>
          <w:b/>
          <w:bCs/>
        </w:rPr>
      </w:pPr>
    </w:p>
    <w:p w14:paraId="222B62AE" w14:textId="77777777" w:rsidR="001A3B97" w:rsidRDefault="001A3B97" w:rsidP="00C67662">
      <w:pPr>
        <w:autoSpaceDE w:val="0"/>
        <w:autoSpaceDN w:val="0"/>
        <w:adjustRightInd w:val="0"/>
        <w:spacing w:after="0"/>
        <w:jc w:val="both"/>
        <w:rPr>
          <w:rFonts w:ascii="Times New Roman" w:hAnsi="Times New Roman"/>
          <w:b/>
          <w:bCs/>
        </w:rPr>
      </w:pPr>
    </w:p>
    <w:p w14:paraId="33A92A7F" w14:textId="77777777" w:rsidR="001A3B97" w:rsidRDefault="001A3B97" w:rsidP="00C67662">
      <w:pPr>
        <w:autoSpaceDE w:val="0"/>
        <w:autoSpaceDN w:val="0"/>
        <w:adjustRightInd w:val="0"/>
        <w:spacing w:after="0"/>
        <w:jc w:val="both"/>
        <w:rPr>
          <w:rFonts w:ascii="Times New Roman" w:hAnsi="Times New Roman"/>
          <w:b/>
          <w:bCs/>
        </w:rPr>
      </w:pPr>
    </w:p>
    <w:p w14:paraId="7B79BA0F" w14:textId="77777777" w:rsidR="001A3B97" w:rsidRDefault="001A3B97" w:rsidP="00C67662">
      <w:pPr>
        <w:autoSpaceDE w:val="0"/>
        <w:autoSpaceDN w:val="0"/>
        <w:adjustRightInd w:val="0"/>
        <w:spacing w:after="0"/>
        <w:jc w:val="both"/>
        <w:rPr>
          <w:rFonts w:ascii="Times New Roman" w:hAnsi="Times New Roman"/>
          <w:b/>
          <w:bCs/>
        </w:rPr>
      </w:pPr>
    </w:p>
    <w:p w14:paraId="46EC6813" w14:textId="77777777" w:rsidR="001A3B97" w:rsidRDefault="001A3B97" w:rsidP="00C67662">
      <w:pPr>
        <w:autoSpaceDE w:val="0"/>
        <w:autoSpaceDN w:val="0"/>
        <w:adjustRightInd w:val="0"/>
        <w:spacing w:after="0"/>
        <w:jc w:val="both"/>
        <w:rPr>
          <w:rFonts w:ascii="Times New Roman" w:hAnsi="Times New Roman"/>
          <w:b/>
          <w:bCs/>
        </w:rPr>
      </w:pPr>
    </w:p>
    <w:p w14:paraId="14723F6A" w14:textId="77777777" w:rsidR="001A3B97" w:rsidRDefault="001A3B97" w:rsidP="00C67662">
      <w:pPr>
        <w:autoSpaceDE w:val="0"/>
        <w:autoSpaceDN w:val="0"/>
        <w:adjustRightInd w:val="0"/>
        <w:spacing w:after="0"/>
        <w:jc w:val="both"/>
        <w:rPr>
          <w:rFonts w:ascii="Times New Roman" w:hAnsi="Times New Roman"/>
          <w:b/>
          <w:bCs/>
        </w:rPr>
      </w:pPr>
    </w:p>
    <w:p w14:paraId="1B535CED" w14:textId="77777777" w:rsidR="001A3B97" w:rsidRDefault="001A3B97" w:rsidP="00C67662">
      <w:pPr>
        <w:autoSpaceDE w:val="0"/>
        <w:autoSpaceDN w:val="0"/>
        <w:adjustRightInd w:val="0"/>
        <w:spacing w:after="0"/>
        <w:jc w:val="both"/>
        <w:rPr>
          <w:rFonts w:ascii="Times New Roman" w:hAnsi="Times New Roman"/>
          <w:b/>
          <w:bCs/>
        </w:rPr>
      </w:pPr>
    </w:p>
    <w:p w14:paraId="49CAF212" w14:textId="77777777" w:rsidR="001A3B97" w:rsidRDefault="001A3B97" w:rsidP="00C67662">
      <w:pPr>
        <w:autoSpaceDE w:val="0"/>
        <w:autoSpaceDN w:val="0"/>
        <w:adjustRightInd w:val="0"/>
        <w:spacing w:after="0"/>
        <w:jc w:val="both"/>
        <w:rPr>
          <w:rFonts w:ascii="Times New Roman" w:hAnsi="Times New Roman"/>
          <w:b/>
          <w:bCs/>
        </w:rPr>
      </w:pPr>
    </w:p>
    <w:p w14:paraId="11ECF484" w14:textId="77777777" w:rsidR="001A3B97" w:rsidRDefault="001A3B97" w:rsidP="00C67662">
      <w:pPr>
        <w:autoSpaceDE w:val="0"/>
        <w:autoSpaceDN w:val="0"/>
        <w:adjustRightInd w:val="0"/>
        <w:spacing w:after="0"/>
        <w:jc w:val="both"/>
        <w:rPr>
          <w:rFonts w:ascii="Times New Roman" w:hAnsi="Times New Roman"/>
          <w:b/>
          <w:bCs/>
        </w:rPr>
      </w:pPr>
    </w:p>
    <w:p w14:paraId="5949FA63" w14:textId="77777777" w:rsidR="001A3B97" w:rsidRDefault="001A3B97" w:rsidP="00C67662">
      <w:pPr>
        <w:autoSpaceDE w:val="0"/>
        <w:autoSpaceDN w:val="0"/>
        <w:adjustRightInd w:val="0"/>
        <w:spacing w:after="0"/>
        <w:jc w:val="both"/>
        <w:rPr>
          <w:rFonts w:ascii="Times New Roman" w:hAnsi="Times New Roman"/>
          <w:b/>
          <w:bCs/>
        </w:rPr>
      </w:pPr>
    </w:p>
    <w:p w14:paraId="51CCABA0" w14:textId="77777777" w:rsidR="001A3B97" w:rsidRDefault="001A3B97" w:rsidP="00C67662">
      <w:pPr>
        <w:autoSpaceDE w:val="0"/>
        <w:autoSpaceDN w:val="0"/>
        <w:adjustRightInd w:val="0"/>
        <w:spacing w:after="0"/>
        <w:jc w:val="both"/>
        <w:rPr>
          <w:rFonts w:ascii="Times New Roman" w:hAnsi="Times New Roman"/>
          <w:b/>
          <w:bCs/>
        </w:rPr>
      </w:pPr>
    </w:p>
    <w:p w14:paraId="56EFC9BF" w14:textId="77777777" w:rsidR="001A3B97" w:rsidRDefault="001A3B97" w:rsidP="00C67662">
      <w:pPr>
        <w:autoSpaceDE w:val="0"/>
        <w:autoSpaceDN w:val="0"/>
        <w:adjustRightInd w:val="0"/>
        <w:spacing w:after="0"/>
        <w:jc w:val="both"/>
        <w:rPr>
          <w:rFonts w:ascii="Times New Roman" w:hAnsi="Times New Roman"/>
          <w:b/>
          <w:bCs/>
        </w:rPr>
      </w:pPr>
    </w:p>
    <w:p w14:paraId="50769E60" w14:textId="77777777" w:rsidR="008171B8" w:rsidRDefault="008171B8" w:rsidP="00C67662">
      <w:pPr>
        <w:autoSpaceDE w:val="0"/>
        <w:autoSpaceDN w:val="0"/>
        <w:adjustRightInd w:val="0"/>
        <w:spacing w:after="0"/>
        <w:jc w:val="both"/>
        <w:rPr>
          <w:rFonts w:ascii="Times New Roman" w:hAnsi="Times New Roman"/>
          <w:b/>
          <w:bCs/>
        </w:rPr>
      </w:pPr>
    </w:p>
    <w:p w14:paraId="203BBDF9" w14:textId="77777777" w:rsidR="008171B8" w:rsidRDefault="008171B8" w:rsidP="00C67662">
      <w:pPr>
        <w:autoSpaceDE w:val="0"/>
        <w:autoSpaceDN w:val="0"/>
        <w:adjustRightInd w:val="0"/>
        <w:spacing w:after="0"/>
        <w:jc w:val="both"/>
        <w:rPr>
          <w:rFonts w:ascii="Times New Roman" w:hAnsi="Times New Roman"/>
          <w:b/>
          <w:bCs/>
        </w:rPr>
      </w:pPr>
    </w:p>
    <w:p w14:paraId="59FB27EB" w14:textId="77777777" w:rsidR="008171B8" w:rsidRDefault="008171B8" w:rsidP="00C67662">
      <w:pPr>
        <w:autoSpaceDE w:val="0"/>
        <w:autoSpaceDN w:val="0"/>
        <w:adjustRightInd w:val="0"/>
        <w:spacing w:after="0"/>
        <w:jc w:val="both"/>
        <w:rPr>
          <w:rFonts w:ascii="Times New Roman" w:hAnsi="Times New Roman"/>
          <w:b/>
          <w:bCs/>
        </w:rPr>
      </w:pPr>
    </w:p>
    <w:p w14:paraId="4CD389D6" w14:textId="77777777" w:rsidR="008171B8" w:rsidRDefault="008171B8" w:rsidP="00C67662">
      <w:pPr>
        <w:autoSpaceDE w:val="0"/>
        <w:autoSpaceDN w:val="0"/>
        <w:adjustRightInd w:val="0"/>
        <w:spacing w:after="0"/>
        <w:jc w:val="both"/>
        <w:rPr>
          <w:rFonts w:ascii="Times New Roman" w:hAnsi="Times New Roman"/>
          <w:b/>
          <w:bCs/>
        </w:rPr>
      </w:pPr>
    </w:p>
    <w:p w14:paraId="651EE233" w14:textId="77777777" w:rsidR="001A3B97" w:rsidRDefault="001A3B97" w:rsidP="00C67662">
      <w:pPr>
        <w:autoSpaceDE w:val="0"/>
        <w:autoSpaceDN w:val="0"/>
        <w:adjustRightInd w:val="0"/>
        <w:spacing w:after="0"/>
        <w:jc w:val="both"/>
        <w:rPr>
          <w:rFonts w:ascii="Times New Roman" w:hAnsi="Times New Roman"/>
          <w:b/>
          <w:bCs/>
        </w:rPr>
      </w:pPr>
    </w:p>
    <w:p w14:paraId="51F75F28" w14:textId="77777777" w:rsidR="001A3B97" w:rsidRDefault="001A3B97" w:rsidP="00C67662">
      <w:pPr>
        <w:autoSpaceDE w:val="0"/>
        <w:autoSpaceDN w:val="0"/>
        <w:adjustRightInd w:val="0"/>
        <w:spacing w:after="0"/>
        <w:jc w:val="both"/>
        <w:rPr>
          <w:rFonts w:ascii="Times New Roman" w:hAnsi="Times New Roman"/>
          <w:b/>
          <w:bCs/>
        </w:rPr>
      </w:pPr>
    </w:p>
    <w:p w14:paraId="1BFE0A90" w14:textId="77777777" w:rsidR="001A3B97" w:rsidRDefault="001A3B97" w:rsidP="00C67662">
      <w:pPr>
        <w:autoSpaceDE w:val="0"/>
        <w:autoSpaceDN w:val="0"/>
        <w:adjustRightInd w:val="0"/>
        <w:spacing w:after="0"/>
        <w:jc w:val="both"/>
        <w:rPr>
          <w:rFonts w:ascii="Times New Roman" w:hAnsi="Times New Roman"/>
          <w:b/>
          <w:bCs/>
        </w:rPr>
      </w:pPr>
    </w:p>
    <w:p w14:paraId="0DFD59A8" w14:textId="77777777" w:rsidR="001A3B97" w:rsidRDefault="001A3B97" w:rsidP="00C67662">
      <w:pPr>
        <w:autoSpaceDE w:val="0"/>
        <w:autoSpaceDN w:val="0"/>
        <w:adjustRightInd w:val="0"/>
        <w:spacing w:after="0"/>
        <w:jc w:val="both"/>
        <w:rPr>
          <w:rFonts w:ascii="Times New Roman" w:hAnsi="Times New Roman"/>
          <w:b/>
          <w:bCs/>
        </w:rPr>
      </w:pPr>
    </w:p>
    <w:p w14:paraId="0723F27C" w14:textId="77777777" w:rsidR="001A3B97" w:rsidRDefault="001A3B97" w:rsidP="00C67662">
      <w:pPr>
        <w:autoSpaceDE w:val="0"/>
        <w:autoSpaceDN w:val="0"/>
        <w:adjustRightInd w:val="0"/>
        <w:spacing w:after="0"/>
        <w:jc w:val="both"/>
        <w:rPr>
          <w:rFonts w:ascii="Times New Roman" w:hAnsi="Times New Roman"/>
          <w:b/>
          <w:bCs/>
        </w:rPr>
      </w:pPr>
    </w:p>
    <w:p w14:paraId="4E4D4220" w14:textId="77777777" w:rsidR="001A3B97" w:rsidRDefault="001A3B97" w:rsidP="00C67662">
      <w:pPr>
        <w:autoSpaceDE w:val="0"/>
        <w:autoSpaceDN w:val="0"/>
        <w:adjustRightInd w:val="0"/>
        <w:spacing w:after="0"/>
        <w:jc w:val="both"/>
        <w:rPr>
          <w:rFonts w:ascii="Times New Roman" w:hAnsi="Times New Roman"/>
          <w:b/>
          <w:bCs/>
        </w:rPr>
      </w:pPr>
    </w:p>
    <w:p w14:paraId="52655E85" w14:textId="77777777" w:rsidR="001A3B97" w:rsidRDefault="001A3B97" w:rsidP="00C67662">
      <w:pPr>
        <w:autoSpaceDE w:val="0"/>
        <w:autoSpaceDN w:val="0"/>
        <w:adjustRightInd w:val="0"/>
        <w:spacing w:after="0"/>
        <w:jc w:val="both"/>
        <w:rPr>
          <w:rFonts w:ascii="Times New Roman" w:hAnsi="Times New Roman"/>
          <w:b/>
          <w:bCs/>
        </w:rPr>
      </w:pPr>
    </w:p>
    <w:p w14:paraId="00BBE2C6" w14:textId="77777777" w:rsidR="001A3B97" w:rsidRDefault="001A3B97" w:rsidP="00C67662">
      <w:pPr>
        <w:autoSpaceDE w:val="0"/>
        <w:autoSpaceDN w:val="0"/>
        <w:adjustRightInd w:val="0"/>
        <w:spacing w:after="0"/>
        <w:jc w:val="both"/>
        <w:rPr>
          <w:rFonts w:ascii="Times New Roman" w:hAnsi="Times New Roman"/>
          <w:b/>
          <w:bCs/>
        </w:rPr>
      </w:pPr>
    </w:p>
    <w:p w14:paraId="2869F9F1" w14:textId="77777777" w:rsidR="001A3B97" w:rsidRDefault="001A3B97" w:rsidP="00C67662">
      <w:pPr>
        <w:autoSpaceDE w:val="0"/>
        <w:autoSpaceDN w:val="0"/>
        <w:adjustRightInd w:val="0"/>
        <w:spacing w:after="0"/>
        <w:jc w:val="both"/>
        <w:rPr>
          <w:rFonts w:ascii="Times New Roman" w:hAnsi="Times New Roman"/>
          <w:b/>
          <w:bCs/>
        </w:rPr>
      </w:pPr>
    </w:p>
    <w:p w14:paraId="7E54389C" w14:textId="77777777" w:rsidR="001A3B97" w:rsidRDefault="001A3B97" w:rsidP="00C67662">
      <w:pPr>
        <w:autoSpaceDE w:val="0"/>
        <w:autoSpaceDN w:val="0"/>
        <w:adjustRightInd w:val="0"/>
        <w:spacing w:after="0"/>
        <w:jc w:val="both"/>
        <w:rPr>
          <w:rFonts w:ascii="Times New Roman" w:hAnsi="Times New Roman"/>
          <w:b/>
          <w:bCs/>
        </w:rPr>
      </w:pPr>
    </w:p>
    <w:p w14:paraId="03D812A5" w14:textId="77777777" w:rsidR="001A3B97" w:rsidRDefault="001A3B97" w:rsidP="00C67662">
      <w:pPr>
        <w:autoSpaceDE w:val="0"/>
        <w:autoSpaceDN w:val="0"/>
        <w:adjustRightInd w:val="0"/>
        <w:spacing w:after="0"/>
        <w:jc w:val="both"/>
        <w:rPr>
          <w:rFonts w:ascii="Times New Roman" w:hAnsi="Times New Roman"/>
          <w:b/>
          <w:bCs/>
        </w:rPr>
      </w:pPr>
    </w:p>
    <w:p w14:paraId="7DDC42CF" w14:textId="77777777" w:rsidR="001A3B97" w:rsidRDefault="001A3B97" w:rsidP="00C67662">
      <w:pPr>
        <w:autoSpaceDE w:val="0"/>
        <w:autoSpaceDN w:val="0"/>
        <w:adjustRightInd w:val="0"/>
        <w:spacing w:after="0"/>
        <w:jc w:val="both"/>
        <w:rPr>
          <w:rFonts w:ascii="Times New Roman" w:hAnsi="Times New Roman"/>
          <w:b/>
          <w:bCs/>
        </w:rPr>
      </w:pPr>
    </w:p>
    <w:p w14:paraId="4429D321" w14:textId="6238F950" w:rsidR="0072329C" w:rsidRDefault="005F5809" w:rsidP="00C67662">
      <w:pPr>
        <w:autoSpaceDE w:val="0"/>
        <w:autoSpaceDN w:val="0"/>
        <w:adjustRightInd w:val="0"/>
        <w:spacing w:after="0"/>
        <w:jc w:val="both"/>
        <w:rPr>
          <w:rFonts w:ascii="Times New Roman" w:hAnsi="Times New Roman"/>
          <w:b/>
          <w:bCs/>
        </w:rPr>
      </w:pPr>
      <w:r w:rsidRPr="00C16504">
        <w:rPr>
          <w:noProof/>
          <w:sz w:val="20"/>
          <w:szCs w:val="20"/>
        </w:rPr>
        <w:lastRenderedPageBreak/>
        <w:drawing>
          <wp:anchor distT="0" distB="0" distL="114300" distR="114300" simplePos="0" relativeHeight="251663360" behindDoc="1" locked="0" layoutInCell="1" allowOverlap="1" wp14:anchorId="48E41BFD" wp14:editId="3EC150B3">
            <wp:simplePos x="0" y="0"/>
            <wp:positionH relativeFrom="page">
              <wp:posOffset>342900</wp:posOffset>
            </wp:positionH>
            <wp:positionV relativeFrom="topMargin">
              <wp:posOffset>260350</wp:posOffset>
            </wp:positionV>
            <wp:extent cx="1778000" cy="609600"/>
            <wp:effectExtent l="0" t="0" r="0" b="0"/>
            <wp:wrapTight wrapText="bothSides">
              <wp:wrapPolygon edited="0">
                <wp:start x="926" y="0"/>
                <wp:lineTo x="0" y="2700"/>
                <wp:lineTo x="0" y="18225"/>
                <wp:lineTo x="926" y="20925"/>
                <wp:lineTo x="4397" y="20925"/>
                <wp:lineTo x="21291" y="16200"/>
                <wp:lineTo x="21291" y="4725"/>
                <wp:lineTo x="4397" y="0"/>
                <wp:lineTo x="926" y="0"/>
              </wp:wrapPolygon>
            </wp:wrapTight>
            <wp:docPr id="4" name="Picture 3" descr="A black and grey text&#10;&#10;AI-generated content may be incorrect.">
              <a:extLst xmlns:a="http://schemas.openxmlformats.org/drawingml/2006/main">
                <a:ext uri="{FF2B5EF4-FFF2-40B4-BE49-F238E27FC236}">
                  <a16:creationId xmlns:a16="http://schemas.microsoft.com/office/drawing/2014/main" id="{7B3E1016-149A-0092-BEA6-12FF422F1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and grey text&#10;&#10;AI-generated content may be incorrect.">
                      <a:extLst>
                        <a:ext uri="{FF2B5EF4-FFF2-40B4-BE49-F238E27FC236}">
                          <a16:creationId xmlns:a16="http://schemas.microsoft.com/office/drawing/2014/main" id="{7B3E1016-149A-0092-BEA6-12FF422F1F2A}"/>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78000" cy="609600"/>
                    </a:xfrm>
                    <a:prstGeom prst="rect">
                      <a:avLst/>
                    </a:prstGeom>
                  </pic:spPr>
                </pic:pic>
              </a:graphicData>
            </a:graphic>
            <wp14:sizeRelH relativeFrom="page">
              <wp14:pctWidth>0</wp14:pctWidth>
            </wp14:sizeRelH>
            <wp14:sizeRelV relativeFrom="page">
              <wp14:pctHeight>0</wp14:pctHeight>
            </wp14:sizeRelV>
          </wp:anchor>
        </w:drawing>
      </w:r>
    </w:p>
    <w:p w14:paraId="294173F8" w14:textId="77777777" w:rsidR="001A3B97" w:rsidRPr="002351FF" w:rsidRDefault="001A3B97" w:rsidP="001A3B97">
      <w:pPr>
        <w:jc w:val="center"/>
        <w:rPr>
          <w:rFonts w:ascii="Lato" w:hAnsi="Lato"/>
          <w:b/>
          <w:bCs/>
          <w:color w:val="C00000"/>
          <w:sz w:val="28"/>
          <w:szCs w:val="28"/>
        </w:rPr>
      </w:pPr>
      <w:r w:rsidRPr="00C16504">
        <w:rPr>
          <w:rFonts w:ascii="Lato Heavy" w:hAnsi="Lato Heavy" w:cs="Lato Heavy"/>
          <w:noProof/>
          <w:color w:val="C00000"/>
        </w:rPr>
        <mc:AlternateContent>
          <mc:Choice Requires="wps">
            <w:drawing>
              <wp:anchor distT="0" distB="0" distL="114300" distR="114300" simplePos="0" relativeHeight="251661312" behindDoc="0" locked="0" layoutInCell="1" allowOverlap="1" wp14:anchorId="177ACE85" wp14:editId="5D517C70">
                <wp:simplePos x="0" y="0"/>
                <wp:positionH relativeFrom="margin">
                  <wp:posOffset>-273050</wp:posOffset>
                </wp:positionH>
                <wp:positionV relativeFrom="paragraph">
                  <wp:posOffset>363220</wp:posOffset>
                </wp:positionV>
                <wp:extent cx="7048500" cy="349250"/>
                <wp:effectExtent l="0" t="0" r="19050" b="12700"/>
                <wp:wrapNone/>
                <wp:docPr id="7" name="Rectangle 6">
                  <a:extLst xmlns:a="http://schemas.openxmlformats.org/drawingml/2006/main">
                    <a:ext uri="{FF2B5EF4-FFF2-40B4-BE49-F238E27FC236}">
                      <a16:creationId xmlns:a16="http://schemas.microsoft.com/office/drawing/2014/main" id="{214E7F12-9744-680B-A2B2-B3A8B4265D36}"/>
                    </a:ext>
                  </a:extLst>
                </wp:docPr>
                <wp:cNvGraphicFramePr/>
                <a:graphic xmlns:a="http://schemas.openxmlformats.org/drawingml/2006/main">
                  <a:graphicData uri="http://schemas.microsoft.com/office/word/2010/wordprocessingShape">
                    <wps:wsp>
                      <wps:cNvSpPr/>
                      <wps:spPr>
                        <a:xfrm>
                          <a:off x="0" y="0"/>
                          <a:ext cx="7048500" cy="34925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2A8E92" w14:textId="77777777" w:rsidR="001A3B97" w:rsidRPr="00646C28" w:rsidRDefault="001A3B97" w:rsidP="001A3B97">
                            <w:pPr>
                              <w:spacing w:after="0" w:line="240" w:lineRule="auto"/>
                              <w:rPr>
                                <w:rFonts w:ascii="Lato Black" w:hAnsi="Lato Black"/>
                                <w:b/>
                                <w:bCs/>
                                <w:color w:val="FFFFFF" w:themeColor="background1"/>
                                <w:kern w:val="24"/>
                                <w:sz w:val="24"/>
                                <w:szCs w:val="24"/>
                              </w:rPr>
                            </w:pPr>
                            <w:r w:rsidRPr="00646C28">
                              <w:rPr>
                                <w:rFonts w:ascii="Lato Black" w:hAnsi="Lato Black"/>
                                <w:b/>
                                <w:bCs/>
                                <w:color w:val="FFFFFF" w:themeColor="background1"/>
                                <w:kern w:val="24"/>
                                <w:sz w:val="24"/>
                                <w:szCs w:val="24"/>
                              </w:rPr>
                              <w:t>Consultancy</w:t>
                            </w:r>
                            <w:r>
                              <w:rPr>
                                <w:rFonts w:ascii="Lato Black" w:hAnsi="Lato Black"/>
                                <w:b/>
                                <w:bCs/>
                                <w:color w:val="FFFFFF" w:themeColor="background1"/>
                                <w:kern w:val="24"/>
                                <w:sz w:val="24"/>
                                <w:szCs w:val="24"/>
                              </w:rPr>
                              <w:t xml:space="preserve"> Serv</w:t>
                            </w:r>
                            <w:r w:rsidRPr="00646C28">
                              <w:rPr>
                                <w:rFonts w:ascii="Lato Black" w:hAnsi="Lato Black"/>
                                <w:b/>
                                <w:bCs/>
                                <w:color w:val="FFFFFF" w:themeColor="background1"/>
                                <w:kern w:val="24"/>
                                <w:sz w:val="24"/>
                                <w:szCs w:val="24"/>
                              </w:rPr>
                              <w:t>i</w:t>
                            </w:r>
                            <w:r>
                              <w:rPr>
                                <w:rFonts w:ascii="Lato Black" w:hAnsi="Lato Black"/>
                                <w:b/>
                                <w:bCs/>
                                <w:color w:val="FFFFFF" w:themeColor="background1"/>
                                <w:kern w:val="24"/>
                                <w:sz w:val="24"/>
                                <w:szCs w:val="24"/>
                              </w:rPr>
                              <w:t>ce</w:t>
                            </w:r>
                            <w:r w:rsidRPr="00646C28">
                              <w:rPr>
                                <w:rFonts w:ascii="Lato Black" w:hAnsi="Lato Black"/>
                                <w:b/>
                                <w:bCs/>
                                <w:color w:val="FFFFFF" w:themeColor="background1"/>
                                <w:kern w:val="24"/>
                                <w:sz w:val="24"/>
                                <w:szCs w:val="24"/>
                              </w:rPr>
                              <w:t xml:space="preserve"> </w:t>
                            </w:r>
                            <w:proofErr w:type="gramStart"/>
                            <w:r>
                              <w:rPr>
                                <w:rFonts w:ascii="Lato Black" w:hAnsi="Lato Black"/>
                                <w:b/>
                                <w:bCs/>
                                <w:color w:val="FFFFFF" w:themeColor="background1"/>
                                <w:kern w:val="24"/>
                                <w:sz w:val="24"/>
                                <w:szCs w:val="24"/>
                              </w:rPr>
                              <w:t>For</w:t>
                            </w:r>
                            <w:proofErr w:type="gramEnd"/>
                            <w:r>
                              <w:rPr>
                                <w:rFonts w:ascii="Lato Black" w:hAnsi="Lato Black"/>
                                <w:b/>
                                <w:bCs/>
                                <w:color w:val="FFFFFF" w:themeColor="background1"/>
                                <w:kern w:val="24"/>
                                <w:sz w:val="24"/>
                                <w:szCs w:val="24"/>
                              </w:rPr>
                              <w:t xml:space="preserve"> </w:t>
                            </w:r>
                            <w:r w:rsidRPr="00646C28">
                              <w:rPr>
                                <w:rFonts w:ascii="Lato Black" w:hAnsi="Lato Black"/>
                                <w:b/>
                                <w:bCs/>
                                <w:color w:val="FFFFFF" w:themeColor="background1"/>
                                <w:kern w:val="24"/>
                                <w:sz w:val="24"/>
                                <w:szCs w:val="24"/>
                              </w:rPr>
                              <w:t>Conduct</w:t>
                            </w:r>
                            <w:r>
                              <w:rPr>
                                <w:rFonts w:ascii="Lato Black" w:hAnsi="Lato Black"/>
                                <w:b/>
                                <w:bCs/>
                                <w:color w:val="FFFFFF" w:themeColor="background1"/>
                                <w:kern w:val="24"/>
                                <w:sz w:val="24"/>
                                <w:szCs w:val="24"/>
                              </w:rPr>
                              <w:t>ing</w:t>
                            </w:r>
                            <w:r w:rsidRPr="00646C28">
                              <w:rPr>
                                <w:rFonts w:ascii="Lato Black" w:hAnsi="Lato Black"/>
                                <w:b/>
                                <w:bCs/>
                                <w:color w:val="FFFFFF" w:themeColor="background1"/>
                                <w:kern w:val="24"/>
                                <w:sz w:val="24"/>
                                <w:szCs w:val="24"/>
                              </w:rPr>
                              <w:t xml:space="preserve"> a Political Economy Analysis (PEA) on Child Rights in Somalia</w:t>
                            </w:r>
                          </w:p>
                          <w:p w14:paraId="55AC2AE3" w14:textId="77777777" w:rsidR="001A3B97" w:rsidRPr="00646C28" w:rsidRDefault="001A3B97" w:rsidP="001A3B97">
                            <w:pPr>
                              <w:jc w:val="center"/>
                              <w:rPr>
                                <w:rFonts w:ascii="Lato Black" w:hAnsi="Lato Black"/>
                                <w:b/>
                                <w:bCs/>
                                <w:color w:val="FFFFFF" w:themeColor="background1"/>
                                <w:kern w:val="24"/>
                                <w:sz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77ACE85" id="Rectangle 6" o:spid="_x0000_s1026" style="position:absolute;left:0;text-align:left;margin-left:-21.5pt;margin-top:28.6pt;width:55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" fillcolor="#c00000" strokecolor="#c00000" strokeweight="1pt">
                <v:textbox>
                  <w:txbxContent>
                    <w:p w14:paraId="222A8E92" w14:textId="77777777" w:rsidR="001A3B97" w:rsidRPr="00646C28" w:rsidRDefault="001A3B97" w:rsidP="001A3B97">
                      <w:pPr>
                        <w:spacing w:after="0" w:line="240" w:lineRule="auto"/>
                        <w:rPr>
                          <w:rFonts w:ascii="Lato Black" w:hAnsi="Lato Black"/>
                          <w:b/>
                          <w:bCs/>
                          <w:color w:val="FFFFFF" w:themeColor="background1"/>
                          <w:kern w:val="24"/>
                          <w:sz w:val="24"/>
                          <w:szCs w:val="24"/>
                        </w:rPr>
                      </w:pPr>
                      <w:r w:rsidRPr="00646C28">
                        <w:rPr>
                          <w:rFonts w:ascii="Lato Black" w:hAnsi="Lato Black"/>
                          <w:b/>
                          <w:bCs/>
                          <w:color w:val="FFFFFF" w:themeColor="background1"/>
                          <w:kern w:val="24"/>
                          <w:sz w:val="24"/>
                          <w:szCs w:val="24"/>
                        </w:rPr>
                        <w:t>Consultancy</w:t>
                      </w:r>
                      <w:r>
                        <w:rPr>
                          <w:rFonts w:ascii="Lato Black" w:hAnsi="Lato Black"/>
                          <w:b/>
                          <w:bCs/>
                          <w:color w:val="FFFFFF" w:themeColor="background1"/>
                          <w:kern w:val="24"/>
                          <w:sz w:val="24"/>
                          <w:szCs w:val="24"/>
                        </w:rPr>
                        <w:t xml:space="preserve"> Serv</w:t>
                      </w:r>
                      <w:r w:rsidRPr="00646C28">
                        <w:rPr>
                          <w:rFonts w:ascii="Lato Black" w:hAnsi="Lato Black"/>
                          <w:b/>
                          <w:bCs/>
                          <w:color w:val="FFFFFF" w:themeColor="background1"/>
                          <w:kern w:val="24"/>
                          <w:sz w:val="24"/>
                          <w:szCs w:val="24"/>
                        </w:rPr>
                        <w:t>i</w:t>
                      </w:r>
                      <w:r>
                        <w:rPr>
                          <w:rFonts w:ascii="Lato Black" w:hAnsi="Lato Black"/>
                          <w:b/>
                          <w:bCs/>
                          <w:color w:val="FFFFFF" w:themeColor="background1"/>
                          <w:kern w:val="24"/>
                          <w:sz w:val="24"/>
                          <w:szCs w:val="24"/>
                        </w:rPr>
                        <w:t>ce</w:t>
                      </w:r>
                      <w:r w:rsidRPr="00646C28">
                        <w:rPr>
                          <w:rFonts w:ascii="Lato Black" w:hAnsi="Lato Black"/>
                          <w:b/>
                          <w:bCs/>
                          <w:color w:val="FFFFFF" w:themeColor="background1"/>
                          <w:kern w:val="24"/>
                          <w:sz w:val="24"/>
                          <w:szCs w:val="24"/>
                        </w:rPr>
                        <w:t xml:space="preserve"> </w:t>
                      </w:r>
                      <w:proofErr w:type="gramStart"/>
                      <w:r>
                        <w:rPr>
                          <w:rFonts w:ascii="Lato Black" w:hAnsi="Lato Black"/>
                          <w:b/>
                          <w:bCs/>
                          <w:color w:val="FFFFFF" w:themeColor="background1"/>
                          <w:kern w:val="24"/>
                          <w:sz w:val="24"/>
                          <w:szCs w:val="24"/>
                        </w:rPr>
                        <w:t>For</w:t>
                      </w:r>
                      <w:proofErr w:type="gramEnd"/>
                      <w:r>
                        <w:rPr>
                          <w:rFonts w:ascii="Lato Black" w:hAnsi="Lato Black"/>
                          <w:b/>
                          <w:bCs/>
                          <w:color w:val="FFFFFF" w:themeColor="background1"/>
                          <w:kern w:val="24"/>
                          <w:sz w:val="24"/>
                          <w:szCs w:val="24"/>
                        </w:rPr>
                        <w:t xml:space="preserve"> </w:t>
                      </w:r>
                      <w:r w:rsidRPr="00646C28">
                        <w:rPr>
                          <w:rFonts w:ascii="Lato Black" w:hAnsi="Lato Black"/>
                          <w:b/>
                          <w:bCs/>
                          <w:color w:val="FFFFFF" w:themeColor="background1"/>
                          <w:kern w:val="24"/>
                          <w:sz w:val="24"/>
                          <w:szCs w:val="24"/>
                        </w:rPr>
                        <w:t>Conduct</w:t>
                      </w:r>
                      <w:r>
                        <w:rPr>
                          <w:rFonts w:ascii="Lato Black" w:hAnsi="Lato Black"/>
                          <w:b/>
                          <w:bCs/>
                          <w:color w:val="FFFFFF" w:themeColor="background1"/>
                          <w:kern w:val="24"/>
                          <w:sz w:val="24"/>
                          <w:szCs w:val="24"/>
                        </w:rPr>
                        <w:t>ing</w:t>
                      </w:r>
                      <w:r w:rsidRPr="00646C28">
                        <w:rPr>
                          <w:rFonts w:ascii="Lato Black" w:hAnsi="Lato Black"/>
                          <w:b/>
                          <w:bCs/>
                          <w:color w:val="FFFFFF" w:themeColor="background1"/>
                          <w:kern w:val="24"/>
                          <w:sz w:val="24"/>
                          <w:szCs w:val="24"/>
                        </w:rPr>
                        <w:t xml:space="preserve"> a Political Economy Analysis (PEA) on Child Rights in Somalia</w:t>
                      </w:r>
                    </w:p>
                    <w:p w14:paraId="55AC2AE3" w14:textId="77777777" w:rsidR="001A3B97" w:rsidRPr="00646C28" w:rsidRDefault="001A3B97" w:rsidP="001A3B97">
                      <w:pPr>
                        <w:jc w:val="center"/>
                        <w:rPr>
                          <w:rFonts w:ascii="Lato Black" w:hAnsi="Lato Black"/>
                          <w:b/>
                          <w:bCs/>
                          <w:color w:val="FFFFFF" w:themeColor="background1"/>
                          <w:kern w:val="24"/>
                          <w:sz w:val="24"/>
                          <w:szCs w:val="24"/>
                        </w:rPr>
                      </w:pPr>
                    </w:p>
                  </w:txbxContent>
                </v:textbox>
                <w10:wrap anchorx="margin"/>
              </v:rect>
            </w:pict>
          </mc:Fallback>
        </mc:AlternateContent>
      </w:r>
      <w:r w:rsidRPr="005660AB">
        <w:rPr>
          <w:rFonts w:ascii="Lato" w:hAnsi="Lato"/>
          <w:b/>
          <w:bCs/>
          <w:color w:val="C00000"/>
          <w:sz w:val="28"/>
          <w:szCs w:val="28"/>
        </w:rPr>
        <w:t>T</w:t>
      </w:r>
      <w:r w:rsidRPr="002351FF">
        <w:rPr>
          <w:rFonts w:ascii="Lato" w:hAnsi="Lato"/>
          <w:b/>
          <w:bCs/>
          <w:color w:val="C00000"/>
          <w:sz w:val="28"/>
          <w:szCs w:val="28"/>
        </w:rPr>
        <w:t>ERMS OF REFERENCE</w:t>
      </w:r>
    </w:p>
    <w:p w14:paraId="4F0AC131" w14:textId="77777777" w:rsidR="001A3B97" w:rsidRDefault="001A3B97" w:rsidP="001A3B97">
      <w:pPr>
        <w:spacing w:after="0"/>
        <w:jc w:val="both"/>
        <w:rPr>
          <w:rFonts w:ascii="Lato" w:hAnsi="Lato"/>
          <w:b/>
          <w:bCs/>
          <w:color w:val="C00000"/>
          <w:sz w:val="20"/>
          <w:szCs w:val="20"/>
        </w:rPr>
      </w:pPr>
    </w:p>
    <w:p w14:paraId="6AA2554E" w14:textId="77777777" w:rsidR="001A3B97" w:rsidRPr="00C16504" w:rsidRDefault="001A3B97" w:rsidP="001A3B97">
      <w:pPr>
        <w:spacing w:after="0"/>
        <w:jc w:val="center"/>
        <w:rPr>
          <w:rFonts w:ascii="Lato Heavy" w:hAnsi="Lato Heavy" w:cs="Lato Heavy"/>
          <w:b/>
          <w:bCs/>
          <w:color w:val="C00000"/>
        </w:rPr>
      </w:pPr>
    </w:p>
    <w:p w14:paraId="70AF8FBD" w14:textId="77777777" w:rsidR="001A3B97" w:rsidRPr="00C16504" w:rsidRDefault="001A3B97" w:rsidP="001A3B97">
      <w:pPr>
        <w:spacing w:after="0"/>
        <w:rPr>
          <w:rFonts w:ascii="Lato Heavy" w:hAnsi="Lato Heavy" w:cs="Lato Heavy"/>
          <w:color w:val="C00000"/>
        </w:rPr>
      </w:pPr>
    </w:p>
    <w:p w14:paraId="1A2A2FE9" w14:textId="77777777" w:rsidR="001A3B97" w:rsidRPr="00C16504" w:rsidRDefault="001A3B97" w:rsidP="001A3B97">
      <w:pPr>
        <w:rPr>
          <w:rFonts w:ascii="Lato Heavy" w:hAnsi="Lato Heavy" w:cs="Lato Heavy"/>
          <w:b/>
          <w:bCs/>
        </w:rPr>
      </w:pPr>
      <w:r w:rsidRPr="00C16504">
        <w:rPr>
          <w:rFonts w:ascii="Lato Heavy" w:hAnsi="Lato Heavy" w:cs="Lato Heavy"/>
          <w:b/>
          <w:bCs/>
        </w:rPr>
        <w:t>1. Background and Rationale</w:t>
      </w:r>
      <w:r w:rsidRPr="00C16504">
        <w:rPr>
          <w:noProof/>
          <w:sz w:val="20"/>
          <w:szCs w:val="20"/>
        </w:rPr>
        <w:t xml:space="preserve"> </w:t>
      </w:r>
    </w:p>
    <w:p w14:paraId="5F7CC6FF" w14:textId="77777777" w:rsidR="001A3B97" w:rsidRPr="00722CB1" w:rsidRDefault="001A3B97" w:rsidP="001A3B97">
      <w:pPr>
        <w:jc w:val="both"/>
        <w:rPr>
          <w:rFonts w:ascii="Lato" w:hAnsi="Lato"/>
          <w:sz w:val="20"/>
          <w:szCs w:val="20"/>
        </w:rPr>
      </w:pPr>
      <w:r w:rsidRPr="00722CB1">
        <w:rPr>
          <w:rFonts w:ascii="Lato" w:hAnsi="Lato"/>
          <w:sz w:val="20"/>
          <w:szCs w:val="20"/>
        </w:rPr>
        <w:t>Somalia is facing a profound governance failure in the realization of children’s rights. Despite children comprising 53% of the population, the State is falling short of its obligations to respect, protect, and fulfil their rights, resulting in widespread and systemic deprivation. This failure is occurring within a “triple threat” environment—protracted conflict, escalating climate shocks, and sustained economic fragility—which collectively undermine the State’s capacity and willingness to guarantee children’s survival, development, protection, and participation rights.</w:t>
      </w:r>
    </w:p>
    <w:p w14:paraId="50EB1E2B" w14:textId="77777777" w:rsidR="001A3B97" w:rsidRPr="00722CB1" w:rsidRDefault="001A3B97" w:rsidP="001A3B97">
      <w:pPr>
        <w:jc w:val="both"/>
        <w:rPr>
          <w:rFonts w:ascii="Lato" w:hAnsi="Lato"/>
          <w:sz w:val="20"/>
          <w:szCs w:val="20"/>
        </w:rPr>
      </w:pPr>
      <w:r w:rsidRPr="00722CB1">
        <w:rPr>
          <w:rFonts w:ascii="Lato" w:hAnsi="Lato"/>
          <w:sz w:val="20"/>
          <w:szCs w:val="20"/>
        </w:rPr>
        <w:t>Over 4.9 million children aged 5–17 is out of school, constituting a large-scale denial of the right to education. Internally displaced children face acute discrimination, with attendance as low as 21%, compared to 39% among non-displaced peers, reflecting inequitable access to essential services. Financial barriers further entrench exclusion, with 42.5% of households unable to realize their children’s right to education due to cost and limited access.</w:t>
      </w:r>
    </w:p>
    <w:p w14:paraId="66F14949" w14:textId="77777777" w:rsidR="001A3B97" w:rsidRPr="00722CB1" w:rsidRDefault="001A3B97" w:rsidP="001A3B97">
      <w:pPr>
        <w:jc w:val="both"/>
        <w:rPr>
          <w:rFonts w:ascii="Lato" w:hAnsi="Lato"/>
          <w:sz w:val="20"/>
          <w:szCs w:val="20"/>
        </w:rPr>
      </w:pPr>
      <w:r w:rsidRPr="00722CB1">
        <w:rPr>
          <w:rFonts w:ascii="Lato" w:hAnsi="Lato"/>
          <w:sz w:val="20"/>
          <w:szCs w:val="20"/>
        </w:rPr>
        <w:t>Grave violations of children’s rights persist. Harmful practices such as FGM/C—affecting 98–99% of women aged 15–49, often before age 10—constitute a severe violation of bodily integrity and freedom from violence. Child marriage, affecting 34% of girls before age 18 and 16% before age 15, undermines girls’ rights to protection, health, and education. Extremely low birth registration rates deny children their right to legal identity, rendering them invisible to the State and excluded from protection systems. Meanwhile, conflict and insecurity expose children to recruitment, displacement, attacks on schools, and other grave violations, in breach of their rights under international law.</w:t>
      </w:r>
    </w:p>
    <w:p w14:paraId="5195646A" w14:textId="77777777" w:rsidR="001A3B97" w:rsidRPr="00722CB1" w:rsidRDefault="001A3B97" w:rsidP="001A3B97">
      <w:pPr>
        <w:jc w:val="both"/>
        <w:rPr>
          <w:rFonts w:ascii="Lato" w:hAnsi="Lato"/>
          <w:sz w:val="20"/>
          <w:szCs w:val="20"/>
        </w:rPr>
      </w:pPr>
      <w:r w:rsidRPr="00722CB1">
        <w:rPr>
          <w:rFonts w:ascii="Lato" w:hAnsi="Lato"/>
          <w:sz w:val="20"/>
          <w:szCs w:val="20"/>
        </w:rPr>
        <w:t>While Somalia has ratified the Convention on the Rights of the Child (CRC) and the African Charter on the Rights and Welfare of the Child (ACRWC), these commitments have not been translated into effective legal, policy, and institutional frameworks. The continued delay of the Child Rights Bill reflects political resistance and weak accountability for children’s rights, perpetuating gaps in protection and service delivery.</w:t>
      </w:r>
    </w:p>
    <w:p w14:paraId="6B3A09C0" w14:textId="77777777" w:rsidR="001A3B97" w:rsidRPr="00722CB1" w:rsidRDefault="001A3B97" w:rsidP="001A3B97">
      <w:pPr>
        <w:jc w:val="both"/>
        <w:rPr>
          <w:rFonts w:ascii="Lato" w:hAnsi="Lato"/>
          <w:sz w:val="20"/>
          <w:szCs w:val="20"/>
        </w:rPr>
      </w:pPr>
      <w:r w:rsidRPr="00722CB1">
        <w:rPr>
          <w:rFonts w:ascii="Lato" w:hAnsi="Lato"/>
          <w:sz w:val="20"/>
          <w:szCs w:val="20"/>
        </w:rPr>
        <w:t>This Political Economy Analysis (PEA) is critical to understanding the underlying political and institutional drivers that sustain a reactive, humanitarian-dependent system, rather than a proactive, rights-based approach centered on prevention, equity, and resilience. The PEA must identify the political incentives and disincentives shaping decision-making, particularly in relation to stabilizing public financing for children and advancing Anticipatory Action (AA), to enable a shift towards systems that uphold and realize children’s rights in a sustainable and equitable mann</w:t>
      </w:r>
      <w:r>
        <w:rPr>
          <w:rFonts w:ascii="Lato" w:hAnsi="Lato"/>
          <w:sz w:val="20"/>
          <w:szCs w:val="20"/>
        </w:rPr>
        <w:t>er</w:t>
      </w:r>
    </w:p>
    <w:p w14:paraId="2C950363" w14:textId="77777777" w:rsidR="001A3B97" w:rsidRPr="00081E98" w:rsidRDefault="001A3B97" w:rsidP="001A3B97">
      <w:pPr>
        <w:jc w:val="both"/>
        <w:rPr>
          <w:rFonts w:ascii="Lato" w:hAnsi="Lato"/>
          <w:sz w:val="20"/>
          <w:szCs w:val="20"/>
        </w:rPr>
      </w:pPr>
      <w:r w:rsidRPr="00081E98">
        <w:rPr>
          <w:rFonts w:ascii="Lato" w:hAnsi="Lato"/>
          <w:sz w:val="20"/>
          <w:szCs w:val="20"/>
        </w:rPr>
        <w:t>The current background insufficiently reflects the role of child participation as a core principle and practical mechanism for advancing children’s rights. Existing child-led and child-</w:t>
      </w:r>
      <w:proofErr w:type="spellStart"/>
      <w:r w:rsidRPr="00081E98">
        <w:rPr>
          <w:rFonts w:ascii="Lato" w:hAnsi="Lato"/>
          <w:sz w:val="20"/>
          <w:szCs w:val="20"/>
        </w:rPr>
        <w:t>centred</w:t>
      </w:r>
      <w:proofErr w:type="spellEnd"/>
      <w:r w:rsidRPr="00081E98">
        <w:rPr>
          <w:rFonts w:ascii="Lato" w:hAnsi="Lato"/>
          <w:sz w:val="20"/>
          <w:szCs w:val="20"/>
        </w:rPr>
        <w:t xml:space="preserve"> platforms—such as girls’ clubs, child champions, and youth advocates—established by Save the Children (SC) and partners represent critical governance entry points for promoting accountability, inclusion, and responsiveness. These mechanisms operationalize children’s right to be heard and to participate in decisions affecting them, yet they remain under-recognized and insufficiently integrated into formal governance and policy processes.</w:t>
      </w:r>
    </w:p>
    <w:p w14:paraId="6BAFB186" w14:textId="77777777" w:rsidR="001A3B97" w:rsidRPr="00081E98" w:rsidRDefault="001A3B97" w:rsidP="001A3B97">
      <w:pPr>
        <w:jc w:val="both"/>
        <w:rPr>
          <w:rFonts w:ascii="Lato" w:hAnsi="Lato"/>
          <w:sz w:val="20"/>
          <w:szCs w:val="20"/>
        </w:rPr>
      </w:pPr>
      <w:r w:rsidRPr="00081E98">
        <w:rPr>
          <w:rFonts w:ascii="Lato" w:hAnsi="Lato"/>
          <w:sz w:val="20"/>
          <w:szCs w:val="20"/>
        </w:rPr>
        <w:t>Strengthening and institutionalizing these participation mechanisms is essential to bridging the gap between communities and decision-makers, particularly in a context where formal accountability structures are weak. Meaningful child participation can enhance transparency, inform more equitable and context-responsive policies, and ensure that the lived experiences of children—especially girls, displaced children, and other marginalized groups—shape priorities and resource allocation.</w:t>
      </w:r>
    </w:p>
    <w:p w14:paraId="4E3A433C" w14:textId="77777777" w:rsidR="001A3B97" w:rsidRPr="00081E98" w:rsidRDefault="001A3B97" w:rsidP="001A3B97">
      <w:pPr>
        <w:jc w:val="both"/>
        <w:rPr>
          <w:rFonts w:ascii="Lato" w:hAnsi="Lato"/>
          <w:sz w:val="20"/>
          <w:szCs w:val="20"/>
        </w:rPr>
      </w:pPr>
      <w:r w:rsidRPr="00081E98">
        <w:rPr>
          <w:rFonts w:ascii="Lato" w:hAnsi="Lato"/>
          <w:sz w:val="20"/>
          <w:szCs w:val="20"/>
        </w:rPr>
        <w:lastRenderedPageBreak/>
        <w:t>Failure to systematically embed these mechanisms within governance structures risks perpetuating top-down, adult-centric decision-making that overlooks children’s rights, needs, and agency. Recognizing and scaling these platforms is therefore critical to advancing a rights-based, accountable, and inclusive system for children in Somalia.</w:t>
      </w:r>
    </w:p>
    <w:p w14:paraId="2C3241D2" w14:textId="77777777" w:rsidR="001A3B97" w:rsidRPr="0026420A" w:rsidRDefault="001A3B97" w:rsidP="001A3B97">
      <w:pPr>
        <w:jc w:val="both"/>
        <w:rPr>
          <w:rFonts w:ascii="Lato" w:hAnsi="Lato"/>
          <w:sz w:val="20"/>
          <w:szCs w:val="20"/>
        </w:rPr>
      </w:pPr>
      <w:r w:rsidRPr="0026420A">
        <w:rPr>
          <w:rFonts w:ascii="Lato" w:hAnsi="Lato"/>
          <w:sz w:val="20"/>
          <w:szCs w:val="20"/>
        </w:rPr>
        <w:t>Civil society—including the Somali Child Rights Coalition, the Puntland Child Rights Coalition, women’s organizations, youth platforms, DPOs, and media actors—plays an increasingly vital role in advancing children’s rights and holding duty-bearers to account. However, these actors often operate with limited technical and institutional capacity, fragmented coalitions, and an incomplete understanding of the political and institutional dynamics that enable or constrain reform. In a context shaped by complex clan structures, religious authority, parliamentary politics, and donor influence, advocacy efforts risk being reactive or misaligned with underlying power relations. There is therefore a pressing need for a Political Economy Analysis (PEA) to unpack these dynamics, identify incentives and disincentives among key actors, and determine realistic and context-sensitive entry points for advancing children’s rights.</w:t>
      </w:r>
    </w:p>
    <w:p w14:paraId="1F13D3C8" w14:textId="77777777" w:rsidR="001A3B97" w:rsidRDefault="001A3B97" w:rsidP="001A3B97">
      <w:pPr>
        <w:jc w:val="both"/>
        <w:rPr>
          <w:rFonts w:ascii="Lato" w:hAnsi="Lato"/>
          <w:sz w:val="20"/>
          <w:szCs w:val="20"/>
        </w:rPr>
      </w:pPr>
      <w:r w:rsidRPr="0026420A">
        <w:rPr>
          <w:rFonts w:ascii="Lato" w:hAnsi="Lato"/>
          <w:sz w:val="20"/>
          <w:szCs w:val="20"/>
        </w:rPr>
        <w:t>Save the Children, under the NORAD Framework Agreement (2024–2028), is supporting the strengthening of national and sub-national systems for child rights governance and protection. The PEA will build on this work by identifying political and institutional pathways to advance the implementation of child rights legislation, increase and stabilize public financing for children, and institutionalize meaningful child participation mechanisms. In doing so, it will provide an evidence-based foundation to shift from fragmented, short-term advocacy towards more strategic, system-level engagement that can deliver sustainable progress for children.</w:t>
      </w:r>
    </w:p>
    <w:p w14:paraId="56B065DD" w14:textId="77777777" w:rsidR="001A3B97" w:rsidRPr="00C16504" w:rsidRDefault="001A3B97" w:rsidP="001A3B97">
      <w:pPr>
        <w:jc w:val="both"/>
        <w:rPr>
          <w:rFonts w:ascii="Lato" w:hAnsi="Lato"/>
          <w:b/>
          <w:bCs/>
          <w:sz w:val="20"/>
          <w:szCs w:val="20"/>
        </w:rPr>
      </w:pPr>
      <w:r w:rsidRPr="00C16504">
        <w:rPr>
          <w:rFonts w:ascii="Lato" w:hAnsi="Lato"/>
          <w:b/>
          <w:bCs/>
          <w:sz w:val="20"/>
          <w:szCs w:val="20"/>
        </w:rPr>
        <w:t>2. Purpose</w:t>
      </w:r>
    </w:p>
    <w:p w14:paraId="4840B0B1" w14:textId="77777777" w:rsidR="001A3B97" w:rsidRPr="00ED4C03" w:rsidRDefault="001A3B97" w:rsidP="001A3B97">
      <w:pPr>
        <w:jc w:val="both"/>
        <w:rPr>
          <w:rFonts w:ascii="Lato" w:hAnsi="Lato"/>
          <w:sz w:val="20"/>
          <w:szCs w:val="20"/>
        </w:rPr>
      </w:pPr>
      <w:r w:rsidRPr="00ED4C03">
        <w:rPr>
          <w:rFonts w:ascii="Lato" w:hAnsi="Lato"/>
          <w:sz w:val="20"/>
          <w:szCs w:val="20"/>
        </w:rPr>
        <w:t>The purpose of this consultancy is to conduct a Political Economy Analysis (PEA) that generates actionable, context-specific insights into the Somali political and institutional landscape as it relates to the realization of children’s rights. The PEA will identify the core political and institutional bottlenecks, as well as critical windows of opportunity, that must be addressed for Save the Children and its partners to influence systemic change and advance the objectives of the Child Rights Governance (CRG) Strategy</w:t>
      </w:r>
      <w:r>
        <w:rPr>
          <w:rFonts w:ascii="Lato" w:hAnsi="Lato"/>
          <w:sz w:val="20"/>
          <w:szCs w:val="20"/>
        </w:rPr>
        <w:t xml:space="preserve">, </w:t>
      </w:r>
      <w:r w:rsidRPr="00ED4C03">
        <w:rPr>
          <w:rFonts w:ascii="Lato" w:hAnsi="Lato"/>
          <w:sz w:val="20"/>
          <w:szCs w:val="20"/>
        </w:rPr>
        <w:t>particularly in relation to legislative reform, fiscal transparency, and the protection of civic space.</w:t>
      </w:r>
    </w:p>
    <w:p w14:paraId="74C7553B" w14:textId="77777777" w:rsidR="001A3B97" w:rsidRPr="00ED4C03" w:rsidRDefault="001A3B97" w:rsidP="001A3B97">
      <w:pPr>
        <w:jc w:val="both"/>
        <w:rPr>
          <w:rFonts w:ascii="Lato" w:hAnsi="Lato"/>
          <w:sz w:val="20"/>
          <w:szCs w:val="20"/>
        </w:rPr>
      </w:pPr>
      <w:r w:rsidRPr="00ED4C03">
        <w:rPr>
          <w:rFonts w:ascii="Lato" w:hAnsi="Lato"/>
          <w:sz w:val="20"/>
          <w:szCs w:val="20"/>
        </w:rPr>
        <w:t>The analysis will examine formal and informal power structures shaping decision-making, recognizing that authority over children’s rights is not limited to the Federal Government but is dispersed across Federal Member States, clan systems, religious leadership, and other non-state actors. These actors often represent the de facto locus of power and accountability, significantly influencing the realization—or denial—of children’s rights at community level.</w:t>
      </w:r>
    </w:p>
    <w:p w14:paraId="1E1DBDF5" w14:textId="77777777" w:rsidR="001A3B97" w:rsidRPr="00ED4C03" w:rsidRDefault="001A3B97" w:rsidP="001A3B97">
      <w:pPr>
        <w:jc w:val="both"/>
        <w:rPr>
          <w:rFonts w:ascii="Lato" w:hAnsi="Lato"/>
          <w:sz w:val="20"/>
          <w:szCs w:val="20"/>
        </w:rPr>
      </w:pPr>
      <w:r w:rsidRPr="00ED4C03">
        <w:rPr>
          <w:rFonts w:ascii="Lato" w:hAnsi="Lato"/>
          <w:sz w:val="20"/>
          <w:szCs w:val="20"/>
        </w:rPr>
        <w:t>The PEA will further assess the capacity, positioning, and influence of civil society actors, coalitions, and media, identifying gaps and opportunities to strengthen coordinated, evidence-based advocacy. It will guide strategies for engaging government institutions, parliamentarians, religious leaders, civil society, and media actors in ways that are politically informed and feasible.</w:t>
      </w:r>
    </w:p>
    <w:p w14:paraId="760D2DDA" w14:textId="77777777" w:rsidR="001A3B97" w:rsidRPr="00ED4C03" w:rsidRDefault="001A3B97" w:rsidP="001A3B97">
      <w:pPr>
        <w:jc w:val="both"/>
        <w:rPr>
          <w:rFonts w:ascii="Lato" w:hAnsi="Lato"/>
          <w:sz w:val="20"/>
          <w:szCs w:val="20"/>
        </w:rPr>
      </w:pPr>
      <w:r w:rsidRPr="00ED4C03">
        <w:rPr>
          <w:rFonts w:ascii="Lato" w:hAnsi="Lato"/>
          <w:sz w:val="20"/>
          <w:szCs w:val="20"/>
        </w:rPr>
        <w:t>Ultimately, the assignment will equip Somali stakeholders with the evidence, analysis, and strategic tools needed to navigate complex power dynamics, influence policy and budgetary reforms, strengthen accountability mechanisms, and advance a more coherent, rights-based system that delivers tangible improvements in the lives of children.</w:t>
      </w:r>
    </w:p>
    <w:p w14:paraId="72A4F9D4" w14:textId="77777777" w:rsidR="001A3B97" w:rsidRDefault="001A3B97" w:rsidP="001A3B97">
      <w:pPr>
        <w:jc w:val="both"/>
        <w:rPr>
          <w:rFonts w:ascii="Lato" w:hAnsi="Lato"/>
          <w:b/>
          <w:bCs/>
          <w:sz w:val="20"/>
          <w:szCs w:val="20"/>
        </w:rPr>
      </w:pPr>
      <w:r>
        <w:rPr>
          <w:rFonts w:ascii="Lato" w:hAnsi="Lato"/>
          <w:b/>
          <w:bCs/>
          <w:sz w:val="20"/>
          <w:szCs w:val="20"/>
        </w:rPr>
        <w:t xml:space="preserve">3. </w:t>
      </w:r>
      <w:r w:rsidRPr="00C16504">
        <w:rPr>
          <w:rFonts w:ascii="Lato" w:hAnsi="Lato"/>
          <w:b/>
          <w:bCs/>
          <w:sz w:val="20"/>
          <w:szCs w:val="20"/>
        </w:rPr>
        <w:t>Objectives</w:t>
      </w:r>
    </w:p>
    <w:p w14:paraId="3E11411D" w14:textId="77777777" w:rsidR="001A3B97" w:rsidRPr="00B94F77" w:rsidRDefault="001A3B97" w:rsidP="001A3B97">
      <w:pPr>
        <w:pStyle w:val="ListParagraph"/>
        <w:numPr>
          <w:ilvl w:val="0"/>
          <w:numId w:val="25"/>
        </w:numPr>
        <w:jc w:val="both"/>
        <w:rPr>
          <w:rFonts w:ascii="Lato" w:eastAsia="Times New Roman" w:hAnsi="Lato"/>
          <w:sz w:val="20"/>
          <w:szCs w:val="20"/>
        </w:rPr>
      </w:pPr>
      <w:r w:rsidRPr="00B94F77">
        <w:rPr>
          <w:rFonts w:ascii="Lato" w:eastAsia="Times New Roman" w:hAnsi="Lato"/>
          <w:b/>
          <w:bCs/>
          <w:sz w:val="20"/>
          <w:szCs w:val="20"/>
        </w:rPr>
        <w:t>Undertake a problem-driven Political Economy Analysis (PEA)</w:t>
      </w:r>
      <w:r w:rsidRPr="00B94F77">
        <w:rPr>
          <w:rFonts w:ascii="Lato" w:eastAsia="Times New Roman" w:hAnsi="Lato"/>
          <w:sz w:val="20"/>
          <w:szCs w:val="20"/>
        </w:rPr>
        <w:t xml:space="preserve"> to identify the structural, political, and institutional drivers, bottlenecks, and opportunities shaping the realization of children’s rights in Somalia. </w:t>
      </w:r>
    </w:p>
    <w:p w14:paraId="36FBBC32" w14:textId="77777777" w:rsidR="001A3B97" w:rsidRPr="00B94F77" w:rsidRDefault="001A3B97" w:rsidP="001A3B97">
      <w:pPr>
        <w:pStyle w:val="ListParagraph"/>
        <w:numPr>
          <w:ilvl w:val="0"/>
          <w:numId w:val="25"/>
        </w:numPr>
        <w:jc w:val="both"/>
        <w:rPr>
          <w:rFonts w:ascii="Lato" w:eastAsia="Times New Roman" w:hAnsi="Lato"/>
          <w:sz w:val="20"/>
          <w:szCs w:val="20"/>
        </w:rPr>
      </w:pPr>
      <w:r w:rsidRPr="00B94F77">
        <w:rPr>
          <w:rFonts w:ascii="Lato" w:eastAsia="Times New Roman" w:hAnsi="Lato"/>
          <w:b/>
          <w:bCs/>
          <w:sz w:val="20"/>
          <w:szCs w:val="20"/>
        </w:rPr>
        <w:t>Analyse the political economy of public financing for children</w:t>
      </w:r>
      <w:r w:rsidRPr="00B94F77">
        <w:rPr>
          <w:rFonts w:ascii="Lato" w:eastAsia="Times New Roman" w:hAnsi="Lato"/>
          <w:sz w:val="20"/>
          <w:szCs w:val="20"/>
        </w:rPr>
        <w:t xml:space="preserve">, including domestic revenue, external aid, and debt, to assess how political incentives influence budget allocation, execution, and accountability in child-sensitive sectors (health, education, social protection, and child protection). </w:t>
      </w:r>
    </w:p>
    <w:p w14:paraId="726F88A7" w14:textId="77777777" w:rsidR="001A3B97" w:rsidRPr="00B94F77" w:rsidRDefault="001A3B97" w:rsidP="001A3B97">
      <w:pPr>
        <w:pStyle w:val="ListParagraph"/>
        <w:numPr>
          <w:ilvl w:val="0"/>
          <w:numId w:val="25"/>
        </w:numPr>
        <w:jc w:val="both"/>
        <w:rPr>
          <w:rFonts w:ascii="Lato" w:eastAsia="Times New Roman" w:hAnsi="Lato"/>
          <w:sz w:val="20"/>
          <w:szCs w:val="20"/>
        </w:rPr>
      </w:pPr>
      <w:r w:rsidRPr="00B94F77">
        <w:rPr>
          <w:rFonts w:ascii="Lato" w:eastAsia="Times New Roman" w:hAnsi="Lato"/>
          <w:b/>
          <w:bCs/>
          <w:sz w:val="20"/>
          <w:szCs w:val="20"/>
        </w:rPr>
        <w:t>Examine barriers to legislative reform</w:t>
      </w:r>
      <w:r w:rsidRPr="00B94F77">
        <w:rPr>
          <w:rFonts w:ascii="Lato" w:eastAsia="Times New Roman" w:hAnsi="Lato"/>
          <w:sz w:val="20"/>
          <w:szCs w:val="20"/>
        </w:rPr>
        <w:t xml:space="preserve">, particularly the stalled Child Rights Bill, and identify the interests, incentives, and resistance shaping policy outcomes. </w:t>
      </w:r>
    </w:p>
    <w:p w14:paraId="3BDA5B3D" w14:textId="77777777" w:rsidR="001A3B97" w:rsidRPr="00B94F77" w:rsidRDefault="001A3B97" w:rsidP="001A3B97">
      <w:pPr>
        <w:pStyle w:val="ListParagraph"/>
        <w:numPr>
          <w:ilvl w:val="0"/>
          <w:numId w:val="25"/>
        </w:numPr>
        <w:jc w:val="both"/>
        <w:rPr>
          <w:rFonts w:ascii="Lato" w:eastAsia="Times New Roman" w:hAnsi="Lato"/>
          <w:sz w:val="20"/>
          <w:szCs w:val="20"/>
        </w:rPr>
      </w:pPr>
      <w:r w:rsidRPr="00B94F77">
        <w:rPr>
          <w:rFonts w:ascii="Lato" w:eastAsia="Times New Roman" w:hAnsi="Lato"/>
          <w:b/>
          <w:bCs/>
          <w:sz w:val="20"/>
          <w:szCs w:val="20"/>
        </w:rPr>
        <w:lastRenderedPageBreak/>
        <w:t>Map power dynamics and stakeholders</w:t>
      </w:r>
      <w:r w:rsidRPr="00B94F77">
        <w:rPr>
          <w:rFonts w:ascii="Lato" w:eastAsia="Times New Roman" w:hAnsi="Lato"/>
          <w:sz w:val="20"/>
          <w:szCs w:val="20"/>
        </w:rPr>
        <w:t xml:space="preserve"> across government, parliament, Federal Member States, and informal systems (clan structures, religious authorities, and non-state actors), identifying key “shapers” and “spoilers,” especially within Ministries of Finance and Planning. </w:t>
      </w:r>
    </w:p>
    <w:p w14:paraId="42EB14A4" w14:textId="77777777" w:rsidR="001A3B97" w:rsidRPr="00B94F77" w:rsidRDefault="001A3B97" w:rsidP="001A3B97">
      <w:pPr>
        <w:pStyle w:val="ListParagraph"/>
        <w:numPr>
          <w:ilvl w:val="0"/>
          <w:numId w:val="25"/>
        </w:numPr>
        <w:jc w:val="both"/>
        <w:rPr>
          <w:rFonts w:ascii="Lato" w:eastAsia="Times New Roman" w:hAnsi="Lato"/>
          <w:sz w:val="20"/>
          <w:szCs w:val="20"/>
        </w:rPr>
      </w:pPr>
      <w:r w:rsidRPr="00B94F77">
        <w:rPr>
          <w:rFonts w:ascii="Lato" w:eastAsia="Times New Roman" w:hAnsi="Lato"/>
          <w:b/>
          <w:bCs/>
          <w:sz w:val="20"/>
          <w:szCs w:val="20"/>
        </w:rPr>
        <w:t>Assess civil society and coalition capacity and influence</w:t>
      </w:r>
      <w:r w:rsidRPr="00B94F77">
        <w:rPr>
          <w:rFonts w:ascii="Lato" w:eastAsia="Times New Roman" w:hAnsi="Lato"/>
          <w:sz w:val="20"/>
          <w:szCs w:val="20"/>
        </w:rPr>
        <w:t xml:space="preserve">, including their ability to coordinate, advocate, build alliances, and apply pressure to shift policy and budget priorities. </w:t>
      </w:r>
    </w:p>
    <w:p w14:paraId="4F83BD7B" w14:textId="77777777" w:rsidR="001A3B97" w:rsidRPr="00B94F77" w:rsidRDefault="001A3B97" w:rsidP="001A3B97">
      <w:pPr>
        <w:pStyle w:val="ListParagraph"/>
        <w:numPr>
          <w:ilvl w:val="0"/>
          <w:numId w:val="25"/>
        </w:numPr>
        <w:jc w:val="both"/>
        <w:rPr>
          <w:rFonts w:ascii="Lato" w:eastAsia="Times New Roman" w:hAnsi="Lato"/>
          <w:sz w:val="20"/>
          <w:szCs w:val="20"/>
        </w:rPr>
      </w:pPr>
      <w:r w:rsidRPr="00B94F77">
        <w:rPr>
          <w:rFonts w:ascii="Lato" w:eastAsia="Times New Roman" w:hAnsi="Lato"/>
          <w:b/>
          <w:bCs/>
          <w:sz w:val="20"/>
          <w:szCs w:val="20"/>
        </w:rPr>
        <w:t>Develop a directory of key actors and norm shapers</w:t>
      </w:r>
      <w:r w:rsidRPr="00B94F77">
        <w:rPr>
          <w:rFonts w:ascii="Lato" w:eastAsia="Times New Roman" w:hAnsi="Lato"/>
          <w:sz w:val="20"/>
          <w:szCs w:val="20"/>
        </w:rPr>
        <w:t xml:space="preserve">, including CSOs, coalitions, youth networks, women’s groups, DPOs, and media platforms. </w:t>
      </w:r>
    </w:p>
    <w:p w14:paraId="0C08F2BA" w14:textId="77777777" w:rsidR="001A3B97" w:rsidRPr="00B94F77" w:rsidRDefault="001A3B97" w:rsidP="001A3B97">
      <w:pPr>
        <w:pStyle w:val="ListParagraph"/>
        <w:numPr>
          <w:ilvl w:val="0"/>
          <w:numId w:val="25"/>
        </w:numPr>
        <w:jc w:val="both"/>
        <w:rPr>
          <w:rFonts w:ascii="Lato" w:eastAsia="Times New Roman" w:hAnsi="Lato"/>
          <w:sz w:val="20"/>
          <w:szCs w:val="20"/>
        </w:rPr>
      </w:pPr>
      <w:r w:rsidRPr="00B94F77">
        <w:rPr>
          <w:rFonts w:ascii="Lato" w:eastAsia="Times New Roman" w:hAnsi="Lato"/>
          <w:b/>
          <w:bCs/>
          <w:sz w:val="20"/>
          <w:szCs w:val="20"/>
        </w:rPr>
        <w:t>Analyse socio-cultural and religious norms</w:t>
      </w:r>
      <w:r w:rsidRPr="00B94F77">
        <w:rPr>
          <w:rFonts w:ascii="Lato" w:eastAsia="Times New Roman" w:hAnsi="Lato"/>
          <w:sz w:val="20"/>
          <w:szCs w:val="20"/>
        </w:rPr>
        <w:t xml:space="preserve"> affecting children’s rights and identify politically feasible, rights-consistent strategies to address harmful practices. </w:t>
      </w:r>
    </w:p>
    <w:p w14:paraId="4E547148" w14:textId="77777777" w:rsidR="001A3B97" w:rsidRPr="00B94F77" w:rsidRDefault="001A3B97" w:rsidP="001A3B97">
      <w:pPr>
        <w:pStyle w:val="ListParagraph"/>
        <w:numPr>
          <w:ilvl w:val="0"/>
          <w:numId w:val="25"/>
        </w:numPr>
        <w:jc w:val="both"/>
        <w:rPr>
          <w:rFonts w:ascii="Lato" w:eastAsia="Times New Roman" w:hAnsi="Lato"/>
          <w:sz w:val="20"/>
          <w:szCs w:val="20"/>
        </w:rPr>
      </w:pPr>
      <w:r w:rsidRPr="00B94F77">
        <w:rPr>
          <w:rFonts w:ascii="Lato" w:eastAsia="Times New Roman" w:hAnsi="Lato"/>
          <w:b/>
          <w:bCs/>
          <w:sz w:val="20"/>
          <w:szCs w:val="20"/>
        </w:rPr>
        <w:t>Identify risks related to aid dependency, fragmentation, and diversion</w:t>
      </w:r>
      <w:r w:rsidRPr="00B94F77">
        <w:rPr>
          <w:rFonts w:ascii="Lato" w:eastAsia="Times New Roman" w:hAnsi="Lato"/>
          <w:sz w:val="20"/>
          <w:szCs w:val="20"/>
        </w:rPr>
        <w:t xml:space="preserve">, and assess barriers to transitioning from humanitarian to sustainable, domestically driven financing for children. </w:t>
      </w:r>
    </w:p>
    <w:p w14:paraId="188ABB57" w14:textId="77777777" w:rsidR="001A3B97" w:rsidRPr="00B94F77" w:rsidRDefault="001A3B97" w:rsidP="001A3B97">
      <w:pPr>
        <w:pStyle w:val="ListParagraph"/>
        <w:numPr>
          <w:ilvl w:val="0"/>
          <w:numId w:val="25"/>
        </w:numPr>
        <w:jc w:val="both"/>
        <w:rPr>
          <w:rFonts w:ascii="Lato" w:eastAsia="Times New Roman" w:hAnsi="Lato"/>
          <w:sz w:val="20"/>
          <w:szCs w:val="20"/>
        </w:rPr>
      </w:pPr>
      <w:r w:rsidRPr="00B94F77">
        <w:rPr>
          <w:rFonts w:ascii="Lato" w:eastAsia="Times New Roman" w:hAnsi="Lato"/>
          <w:b/>
          <w:bCs/>
          <w:sz w:val="20"/>
          <w:szCs w:val="20"/>
        </w:rPr>
        <w:t>Propose politically smart, actionable strategies</w:t>
      </w:r>
      <w:r w:rsidRPr="00B94F77">
        <w:rPr>
          <w:rFonts w:ascii="Lato" w:eastAsia="Times New Roman" w:hAnsi="Lato"/>
          <w:sz w:val="20"/>
          <w:szCs w:val="20"/>
        </w:rPr>
        <w:t xml:space="preserve"> for Save the Children and partners to advance legislative reform, fiscal transparency, civic space, and institutionalized child participation. </w:t>
      </w:r>
    </w:p>
    <w:p w14:paraId="1D41A677" w14:textId="77777777" w:rsidR="001A3B97" w:rsidRPr="00B94F77" w:rsidRDefault="001A3B97" w:rsidP="001A3B97">
      <w:pPr>
        <w:pStyle w:val="ListParagraph"/>
        <w:numPr>
          <w:ilvl w:val="0"/>
          <w:numId w:val="25"/>
        </w:numPr>
        <w:spacing w:after="160" w:line="259" w:lineRule="auto"/>
        <w:jc w:val="both"/>
        <w:rPr>
          <w:rFonts w:ascii="Lato" w:hAnsi="Lato"/>
          <w:b/>
          <w:bCs/>
          <w:sz w:val="20"/>
          <w:szCs w:val="20"/>
        </w:rPr>
      </w:pPr>
      <w:r w:rsidRPr="00B94F77">
        <w:rPr>
          <w:rFonts w:ascii="Lato" w:eastAsia="Times New Roman" w:hAnsi="Lato"/>
          <w:sz w:val="20"/>
          <w:szCs w:val="20"/>
        </w:rPr>
        <w:t>Deliver</w:t>
      </w:r>
      <w:r w:rsidRPr="00B94F77">
        <w:rPr>
          <w:rFonts w:ascii="Lato" w:eastAsia="Times New Roman" w:hAnsi="Lato"/>
          <w:b/>
          <w:bCs/>
          <w:sz w:val="20"/>
          <w:szCs w:val="20"/>
        </w:rPr>
        <w:t xml:space="preserve"> a comprehensive PEA report and actionable roadmap</w:t>
      </w:r>
      <w:r w:rsidRPr="00B94F77">
        <w:rPr>
          <w:rFonts w:ascii="Lato" w:eastAsia="Times New Roman" w:hAnsi="Lato"/>
          <w:sz w:val="20"/>
          <w:szCs w:val="20"/>
        </w:rPr>
        <w:t xml:space="preserve"> with prioritized recommendations for government, civil society, and development partners</w:t>
      </w:r>
      <w:r w:rsidRPr="00B94F77">
        <w:rPr>
          <w:rFonts w:eastAsia="Times New Roman"/>
        </w:rPr>
        <w:t>.</w:t>
      </w:r>
    </w:p>
    <w:p w14:paraId="7A9BDCFF" w14:textId="77777777" w:rsidR="001A3B97" w:rsidRPr="00C16504" w:rsidRDefault="001A3B97" w:rsidP="001A3B97">
      <w:pPr>
        <w:spacing w:after="0" w:line="240" w:lineRule="auto"/>
        <w:outlineLvl w:val="2"/>
        <w:rPr>
          <w:rFonts w:ascii="Lato" w:eastAsia="Times New Roman" w:hAnsi="Lato"/>
          <w:b/>
          <w:bCs/>
        </w:rPr>
      </w:pPr>
      <w:r>
        <w:rPr>
          <w:rFonts w:ascii="Lato" w:eastAsia="Times New Roman" w:hAnsi="Lato"/>
          <w:b/>
          <w:bCs/>
        </w:rPr>
        <w:t xml:space="preserve">4. </w:t>
      </w:r>
      <w:r w:rsidRPr="00C16504">
        <w:rPr>
          <w:rFonts w:ascii="Lato" w:eastAsia="Times New Roman" w:hAnsi="Lato"/>
          <w:b/>
          <w:bCs/>
        </w:rPr>
        <w:t>Scope of Work</w:t>
      </w:r>
    </w:p>
    <w:p w14:paraId="487A2490" w14:textId="77777777" w:rsidR="001A3B97" w:rsidRPr="00C16504" w:rsidRDefault="001A3B97" w:rsidP="001A3B97">
      <w:p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The assignment will cover the following thematic and institutional areas:</w:t>
      </w:r>
    </w:p>
    <w:p w14:paraId="10D980F5" w14:textId="77777777" w:rsidR="001A3B97" w:rsidRPr="00C16504" w:rsidRDefault="001A3B97" w:rsidP="001A3B97">
      <w:pPr>
        <w:numPr>
          <w:ilvl w:val="0"/>
          <w:numId w:val="17"/>
        </w:numPr>
        <w:spacing w:after="0" w:line="240" w:lineRule="auto"/>
        <w:jc w:val="both"/>
        <w:rPr>
          <w:rFonts w:ascii="Lato" w:eastAsia="Times New Roman" w:hAnsi="Lato"/>
          <w:sz w:val="20"/>
          <w:szCs w:val="20"/>
        </w:rPr>
      </w:pPr>
      <w:r w:rsidRPr="00C16504">
        <w:rPr>
          <w:rFonts w:ascii="Lato" w:eastAsia="Times New Roman" w:hAnsi="Lato"/>
          <w:b/>
          <w:bCs/>
          <w:sz w:val="20"/>
          <w:szCs w:val="20"/>
        </w:rPr>
        <w:t>Geographic Coverage</w:t>
      </w:r>
    </w:p>
    <w:p w14:paraId="0334E5EA" w14:textId="77777777" w:rsidR="001A3B97" w:rsidRPr="00C16504" w:rsidRDefault="001A3B97" w:rsidP="001A3B97">
      <w:pPr>
        <w:spacing w:after="0" w:line="240" w:lineRule="auto"/>
        <w:jc w:val="both"/>
        <w:rPr>
          <w:rFonts w:ascii="Lato" w:eastAsia="Times New Roman" w:hAnsi="Lato"/>
          <w:sz w:val="20"/>
          <w:szCs w:val="20"/>
        </w:rPr>
      </w:pPr>
    </w:p>
    <w:p w14:paraId="1F64EA3F" w14:textId="77777777" w:rsidR="001A3B97" w:rsidRPr="00C16504" w:rsidRDefault="001A3B97" w:rsidP="001A3B97">
      <w:pPr>
        <w:numPr>
          <w:ilvl w:val="1"/>
          <w:numId w:val="17"/>
        </w:numPr>
        <w:spacing w:after="0" w:line="240" w:lineRule="auto"/>
        <w:jc w:val="both"/>
        <w:rPr>
          <w:rFonts w:ascii="Lato" w:eastAsia="Times New Roman" w:hAnsi="Lato"/>
          <w:sz w:val="20"/>
          <w:szCs w:val="20"/>
        </w:rPr>
      </w:pPr>
      <w:r w:rsidRPr="00C16504">
        <w:rPr>
          <w:rFonts w:ascii="Lato" w:eastAsia="Times New Roman" w:hAnsi="Lato"/>
          <w:sz w:val="20"/>
          <w:szCs w:val="20"/>
        </w:rPr>
        <w:t xml:space="preserve">Federal institutions and stakeholders in </w:t>
      </w:r>
      <w:r w:rsidRPr="00C16504">
        <w:rPr>
          <w:rFonts w:ascii="Lato" w:eastAsia="Times New Roman" w:hAnsi="Lato"/>
          <w:b/>
          <w:bCs/>
          <w:sz w:val="20"/>
          <w:szCs w:val="20"/>
        </w:rPr>
        <w:t>Mogadishu, Garowe, and Hargeisa</w:t>
      </w:r>
      <w:r w:rsidRPr="00C16504">
        <w:rPr>
          <w:rFonts w:ascii="Lato" w:eastAsia="Times New Roman" w:hAnsi="Lato"/>
          <w:sz w:val="20"/>
          <w:szCs w:val="20"/>
        </w:rPr>
        <w:t>.</w:t>
      </w:r>
    </w:p>
    <w:p w14:paraId="7D7B3B1E" w14:textId="77777777" w:rsidR="001A3B97" w:rsidRPr="00C16504" w:rsidRDefault="001A3B97" w:rsidP="001A3B97">
      <w:pPr>
        <w:spacing w:after="0" w:line="240" w:lineRule="auto"/>
        <w:ind w:left="1440"/>
        <w:jc w:val="both"/>
        <w:rPr>
          <w:rFonts w:ascii="Lato" w:eastAsia="Times New Roman" w:hAnsi="Lato"/>
          <w:sz w:val="20"/>
          <w:szCs w:val="20"/>
        </w:rPr>
      </w:pPr>
    </w:p>
    <w:p w14:paraId="7B97E2A2" w14:textId="77777777" w:rsidR="001A3B97" w:rsidRPr="00C16504" w:rsidRDefault="001A3B97" w:rsidP="001A3B97">
      <w:pPr>
        <w:numPr>
          <w:ilvl w:val="0"/>
          <w:numId w:val="17"/>
        </w:numPr>
        <w:spacing w:after="0" w:line="240" w:lineRule="auto"/>
        <w:jc w:val="both"/>
        <w:rPr>
          <w:rFonts w:ascii="Lato" w:eastAsia="Times New Roman" w:hAnsi="Lato"/>
          <w:sz w:val="20"/>
          <w:szCs w:val="20"/>
        </w:rPr>
      </w:pPr>
      <w:r w:rsidRPr="00C16504">
        <w:rPr>
          <w:rFonts w:ascii="Lato" w:eastAsia="Times New Roman" w:hAnsi="Lato"/>
          <w:b/>
          <w:bCs/>
          <w:sz w:val="20"/>
          <w:szCs w:val="20"/>
        </w:rPr>
        <w:t>Thematic Priorities</w:t>
      </w:r>
    </w:p>
    <w:p w14:paraId="0CDE610F" w14:textId="77777777" w:rsidR="001A3B97" w:rsidRPr="00C16504" w:rsidRDefault="001A3B97" w:rsidP="001A3B97">
      <w:pPr>
        <w:numPr>
          <w:ilvl w:val="1"/>
          <w:numId w:val="17"/>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FGM/C, violence against children (VAC), child marriage, gender inequalities, and gaps in comprehensive legal mechanisms, with a focus on accountability and child participation.</w:t>
      </w:r>
    </w:p>
    <w:p w14:paraId="4A3E27D5" w14:textId="77777777" w:rsidR="001A3B97" w:rsidRPr="00C16504" w:rsidRDefault="001A3B97" w:rsidP="001A3B97">
      <w:pPr>
        <w:numPr>
          <w:ilvl w:val="1"/>
          <w:numId w:val="17"/>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Access, equity, and quality of education, including inclusive education for marginalized groups.</w:t>
      </w:r>
    </w:p>
    <w:p w14:paraId="4D8AF6BC" w14:textId="77777777" w:rsidR="001A3B97" w:rsidRPr="00C16504" w:rsidRDefault="001A3B97" w:rsidP="001A3B97">
      <w:pPr>
        <w:numPr>
          <w:ilvl w:val="1"/>
          <w:numId w:val="17"/>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Promoting equal rights and opportunities for children with disabilities in line with CRPD standards and Somalia National Disability Bill.</w:t>
      </w:r>
    </w:p>
    <w:p w14:paraId="67287AC3" w14:textId="77777777" w:rsidR="001A3B97" w:rsidRPr="00C16504" w:rsidRDefault="001A3B97" w:rsidP="001A3B97">
      <w:pPr>
        <w:numPr>
          <w:ilvl w:val="1"/>
          <w:numId w:val="17"/>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Strengthening child-sensitive social protection systems and safety nets.</w:t>
      </w:r>
    </w:p>
    <w:p w14:paraId="16FA7D55" w14:textId="77777777" w:rsidR="001A3B97" w:rsidRPr="00C16504" w:rsidRDefault="001A3B97" w:rsidP="001A3B97">
      <w:pPr>
        <w:numPr>
          <w:ilvl w:val="1"/>
          <w:numId w:val="17"/>
        </w:numPr>
        <w:spacing w:after="0" w:line="240" w:lineRule="auto"/>
        <w:jc w:val="both"/>
        <w:rPr>
          <w:rFonts w:ascii="Lato" w:eastAsia="Times New Roman" w:hAnsi="Lato"/>
          <w:sz w:val="20"/>
          <w:szCs w:val="20"/>
        </w:rPr>
      </w:pPr>
      <w:r w:rsidRPr="00C16504">
        <w:rPr>
          <w:rFonts w:ascii="Lato" w:eastAsia="Times New Roman" w:hAnsi="Lato"/>
          <w:sz w:val="20"/>
          <w:szCs w:val="20"/>
        </w:rPr>
        <w:t>Advancing child-sensitive justice mechanisms to protect children’s rights.</w:t>
      </w:r>
    </w:p>
    <w:p w14:paraId="22A6EE56" w14:textId="77777777" w:rsidR="001A3B97" w:rsidRPr="00C16504" w:rsidRDefault="001A3B97" w:rsidP="001A3B97">
      <w:pPr>
        <w:spacing w:after="0" w:line="240" w:lineRule="auto"/>
        <w:ind w:left="1440"/>
        <w:jc w:val="both"/>
        <w:rPr>
          <w:rFonts w:ascii="Lato" w:eastAsia="Times New Roman" w:hAnsi="Lato"/>
          <w:sz w:val="20"/>
          <w:szCs w:val="20"/>
        </w:rPr>
      </w:pPr>
    </w:p>
    <w:p w14:paraId="79122584" w14:textId="77777777" w:rsidR="001A3B97" w:rsidRPr="00C16504" w:rsidRDefault="001A3B97" w:rsidP="001A3B97">
      <w:pPr>
        <w:numPr>
          <w:ilvl w:val="0"/>
          <w:numId w:val="17"/>
        </w:numPr>
        <w:spacing w:after="0" w:line="240" w:lineRule="auto"/>
        <w:jc w:val="both"/>
        <w:rPr>
          <w:rFonts w:ascii="Lato" w:eastAsia="Times New Roman" w:hAnsi="Lato"/>
          <w:sz w:val="20"/>
          <w:szCs w:val="20"/>
        </w:rPr>
      </w:pPr>
      <w:r w:rsidRPr="00C16504">
        <w:rPr>
          <w:rFonts w:ascii="Lato" w:eastAsia="Times New Roman" w:hAnsi="Lato"/>
          <w:b/>
          <w:bCs/>
          <w:sz w:val="20"/>
          <w:szCs w:val="20"/>
        </w:rPr>
        <w:t>Key Stakeholders</w:t>
      </w:r>
    </w:p>
    <w:p w14:paraId="483635B5" w14:textId="77777777" w:rsidR="001A3B97" w:rsidRPr="00A2426E" w:rsidRDefault="001A3B97" w:rsidP="001A3B97">
      <w:pPr>
        <w:spacing w:after="0"/>
        <w:rPr>
          <w:rFonts w:ascii="Lato" w:eastAsia="Times New Roman" w:hAnsi="Lato"/>
          <w:b/>
          <w:bCs/>
          <w:sz w:val="20"/>
          <w:szCs w:val="20"/>
        </w:rPr>
      </w:pPr>
      <w:r w:rsidRPr="00A2426E">
        <w:rPr>
          <w:rFonts w:ascii="Lato" w:eastAsia="Times New Roman" w:hAnsi="Lato"/>
          <w:b/>
          <w:bCs/>
          <w:sz w:val="20"/>
          <w:szCs w:val="20"/>
        </w:rPr>
        <w:t>Stakeholder Categorization Framework</w:t>
      </w:r>
    </w:p>
    <w:p w14:paraId="62B74B3A" w14:textId="77777777" w:rsidR="001A3B97" w:rsidRPr="00A2426E" w:rsidRDefault="001A3B97" w:rsidP="001A3B97">
      <w:pPr>
        <w:spacing w:after="0"/>
        <w:rPr>
          <w:rFonts w:ascii="Lato" w:eastAsia="Times New Roman" w:hAnsi="Lato"/>
          <w:b/>
          <w:bCs/>
          <w:sz w:val="20"/>
          <w:szCs w:val="20"/>
        </w:rPr>
      </w:pPr>
      <w:r w:rsidRPr="00A2426E">
        <w:rPr>
          <w:rFonts w:ascii="Lato" w:eastAsia="Times New Roman" w:hAnsi="Lato"/>
          <w:b/>
          <w:bCs/>
          <w:sz w:val="20"/>
          <w:szCs w:val="20"/>
        </w:rPr>
        <w:t>1. Duty-Bearers (Obligation to respect, protect, and fulfil children’s rights)</w:t>
      </w:r>
    </w:p>
    <w:p w14:paraId="2CCDCE2F" w14:textId="77777777" w:rsidR="001A3B97" w:rsidRPr="00A2426E" w:rsidRDefault="001A3B97" w:rsidP="001A3B97">
      <w:pPr>
        <w:pStyle w:val="ListParagraph"/>
        <w:numPr>
          <w:ilvl w:val="0"/>
          <w:numId w:val="26"/>
        </w:numPr>
        <w:spacing w:line="259" w:lineRule="auto"/>
        <w:rPr>
          <w:rFonts w:ascii="Lato" w:eastAsia="Times New Roman" w:hAnsi="Lato"/>
          <w:sz w:val="20"/>
          <w:szCs w:val="20"/>
        </w:rPr>
      </w:pPr>
      <w:r w:rsidRPr="00A2426E">
        <w:rPr>
          <w:rFonts w:ascii="Lato" w:eastAsia="Times New Roman" w:hAnsi="Lato"/>
          <w:sz w:val="20"/>
          <w:szCs w:val="20"/>
        </w:rPr>
        <w:t>Federal Government institutions:</w:t>
      </w:r>
    </w:p>
    <w:p w14:paraId="6E6B99F1" w14:textId="77777777" w:rsidR="001A3B97" w:rsidRPr="00A2426E" w:rsidRDefault="001A3B97" w:rsidP="001A3B97">
      <w:pPr>
        <w:pStyle w:val="ListParagraph"/>
        <w:numPr>
          <w:ilvl w:val="0"/>
          <w:numId w:val="26"/>
        </w:numPr>
        <w:spacing w:line="259" w:lineRule="auto"/>
        <w:rPr>
          <w:rFonts w:ascii="Lato" w:eastAsia="Times New Roman" w:hAnsi="Lato"/>
          <w:sz w:val="20"/>
          <w:szCs w:val="20"/>
        </w:rPr>
      </w:pPr>
      <w:r w:rsidRPr="00A2426E">
        <w:rPr>
          <w:rFonts w:ascii="Lato" w:eastAsia="Times New Roman" w:hAnsi="Lato"/>
          <w:sz w:val="20"/>
          <w:szCs w:val="20"/>
        </w:rPr>
        <w:t xml:space="preserve">Ministry of </w:t>
      </w:r>
      <w:r>
        <w:rPr>
          <w:rFonts w:ascii="Lato" w:eastAsia="Times New Roman" w:hAnsi="Lato"/>
          <w:sz w:val="20"/>
          <w:szCs w:val="20"/>
        </w:rPr>
        <w:t>Family</w:t>
      </w:r>
      <w:r w:rsidRPr="00A2426E">
        <w:rPr>
          <w:rFonts w:ascii="Lato" w:eastAsia="Times New Roman" w:hAnsi="Lato"/>
          <w:sz w:val="20"/>
          <w:szCs w:val="20"/>
        </w:rPr>
        <w:t xml:space="preserve"> and Human Rights Development (Mo</w:t>
      </w:r>
      <w:r>
        <w:rPr>
          <w:rFonts w:ascii="Lato" w:eastAsia="Times New Roman" w:hAnsi="Lato"/>
          <w:sz w:val="20"/>
          <w:szCs w:val="20"/>
        </w:rPr>
        <w:t>F</w:t>
      </w:r>
      <w:r w:rsidRPr="00A2426E">
        <w:rPr>
          <w:rFonts w:ascii="Lato" w:eastAsia="Times New Roman" w:hAnsi="Lato"/>
          <w:sz w:val="20"/>
          <w:szCs w:val="20"/>
        </w:rPr>
        <w:t>HRD)</w:t>
      </w:r>
    </w:p>
    <w:p w14:paraId="30FDAD96" w14:textId="77777777" w:rsidR="001A3B97" w:rsidRPr="00A2426E" w:rsidRDefault="001A3B97" w:rsidP="001A3B97">
      <w:pPr>
        <w:pStyle w:val="ListParagraph"/>
        <w:numPr>
          <w:ilvl w:val="0"/>
          <w:numId w:val="26"/>
        </w:numPr>
        <w:spacing w:line="259" w:lineRule="auto"/>
        <w:rPr>
          <w:rFonts w:ascii="Lato" w:eastAsia="Times New Roman" w:hAnsi="Lato"/>
          <w:sz w:val="20"/>
          <w:szCs w:val="20"/>
        </w:rPr>
      </w:pPr>
      <w:r w:rsidRPr="00A2426E">
        <w:rPr>
          <w:rFonts w:ascii="Lato" w:eastAsia="Times New Roman" w:hAnsi="Lato"/>
          <w:sz w:val="20"/>
          <w:szCs w:val="20"/>
        </w:rPr>
        <w:t>Ministry of Education (MoE)</w:t>
      </w:r>
    </w:p>
    <w:p w14:paraId="0EF910DD" w14:textId="77777777" w:rsidR="001A3B97" w:rsidRPr="00A2426E" w:rsidRDefault="001A3B97" w:rsidP="001A3B97">
      <w:pPr>
        <w:pStyle w:val="ListParagraph"/>
        <w:numPr>
          <w:ilvl w:val="0"/>
          <w:numId w:val="26"/>
        </w:numPr>
        <w:spacing w:line="259" w:lineRule="auto"/>
        <w:rPr>
          <w:rFonts w:ascii="Lato" w:eastAsia="Times New Roman" w:hAnsi="Lato"/>
          <w:sz w:val="20"/>
          <w:szCs w:val="20"/>
        </w:rPr>
      </w:pPr>
      <w:r w:rsidRPr="00A2426E">
        <w:rPr>
          <w:rFonts w:ascii="Lato" w:eastAsia="Times New Roman" w:hAnsi="Lato"/>
          <w:sz w:val="20"/>
          <w:szCs w:val="20"/>
        </w:rPr>
        <w:t>Ministry of Health (MoH)</w:t>
      </w:r>
    </w:p>
    <w:p w14:paraId="040898B3" w14:textId="77777777" w:rsidR="001A3B97" w:rsidRPr="00A2426E" w:rsidRDefault="001A3B97" w:rsidP="001A3B97">
      <w:pPr>
        <w:pStyle w:val="ListParagraph"/>
        <w:numPr>
          <w:ilvl w:val="0"/>
          <w:numId w:val="26"/>
        </w:numPr>
        <w:spacing w:line="259" w:lineRule="auto"/>
        <w:rPr>
          <w:rFonts w:ascii="Lato" w:eastAsia="Times New Roman" w:hAnsi="Lato"/>
          <w:sz w:val="20"/>
          <w:szCs w:val="20"/>
        </w:rPr>
      </w:pPr>
      <w:r w:rsidRPr="00A2426E">
        <w:rPr>
          <w:rFonts w:ascii="Lato" w:eastAsia="Times New Roman" w:hAnsi="Lato"/>
          <w:sz w:val="20"/>
          <w:szCs w:val="20"/>
        </w:rPr>
        <w:t>Ministry of Labor and Social Affairs (</w:t>
      </w:r>
      <w:proofErr w:type="spellStart"/>
      <w:r w:rsidRPr="00A2426E">
        <w:rPr>
          <w:rFonts w:ascii="Lato" w:eastAsia="Times New Roman" w:hAnsi="Lato"/>
          <w:sz w:val="20"/>
          <w:szCs w:val="20"/>
        </w:rPr>
        <w:t>MoLSA</w:t>
      </w:r>
      <w:proofErr w:type="spellEnd"/>
      <w:r w:rsidRPr="00A2426E">
        <w:rPr>
          <w:rFonts w:ascii="Lato" w:eastAsia="Times New Roman" w:hAnsi="Lato"/>
          <w:sz w:val="20"/>
          <w:szCs w:val="20"/>
        </w:rPr>
        <w:t>)</w:t>
      </w:r>
    </w:p>
    <w:p w14:paraId="58D6B729" w14:textId="77777777" w:rsidR="001A3B97" w:rsidRPr="00A2426E" w:rsidRDefault="001A3B97" w:rsidP="001A3B97">
      <w:pPr>
        <w:pStyle w:val="ListParagraph"/>
        <w:numPr>
          <w:ilvl w:val="0"/>
          <w:numId w:val="26"/>
        </w:numPr>
        <w:spacing w:line="259" w:lineRule="auto"/>
        <w:rPr>
          <w:rFonts w:ascii="Lato" w:eastAsia="Times New Roman" w:hAnsi="Lato"/>
          <w:sz w:val="20"/>
          <w:szCs w:val="20"/>
        </w:rPr>
      </w:pPr>
      <w:r w:rsidRPr="00A2426E">
        <w:rPr>
          <w:rFonts w:ascii="Lato" w:eastAsia="Times New Roman" w:hAnsi="Lato"/>
          <w:sz w:val="20"/>
          <w:szCs w:val="20"/>
        </w:rPr>
        <w:t>Ministry of Employment, Social Affairs and Family (MESAF)</w:t>
      </w:r>
    </w:p>
    <w:p w14:paraId="403D7936" w14:textId="77777777" w:rsidR="001A3B97" w:rsidRDefault="001A3B97" w:rsidP="001A3B97">
      <w:pPr>
        <w:pStyle w:val="ListParagraph"/>
        <w:numPr>
          <w:ilvl w:val="0"/>
          <w:numId w:val="26"/>
        </w:numPr>
        <w:spacing w:line="259" w:lineRule="auto"/>
        <w:rPr>
          <w:rFonts w:ascii="Lato" w:eastAsia="Times New Roman" w:hAnsi="Lato"/>
          <w:sz w:val="20"/>
          <w:szCs w:val="20"/>
        </w:rPr>
      </w:pPr>
      <w:r w:rsidRPr="00A2426E">
        <w:rPr>
          <w:rFonts w:ascii="Lato" w:eastAsia="Times New Roman" w:hAnsi="Lato"/>
          <w:sz w:val="20"/>
          <w:szCs w:val="20"/>
        </w:rPr>
        <w:t>Federal Member State institutions (including Puntland and Somaliland counterparts)</w:t>
      </w:r>
    </w:p>
    <w:p w14:paraId="115FD3E1" w14:textId="77777777" w:rsidR="001A3B97" w:rsidRDefault="001A3B97" w:rsidP="001A3B97">
      <w:pPr>
        <w:pStyle w:val="ListParagraph"/>
        <w:numPr>
          <w:ilvl w:val="0"/>
          <w:numId w:val="26"/>
        </w:numPr>
        <w:spacing w:line="259" w:lineRule="auto"/>
        <w:rPr>
          <w:rFonts w:ascii="Lato" w:eastAsia="Times New Roman" w:hAnsi="Lato"/>
          <w:sz w:val="20"/>
          <w:szCs w:val="20"/>
        </w:rPr>
      </w:pPr>
      <w:r w:rsidRPr="00A2426E">
        <w:rPr>
          <w:rFonts w:ascii="Lato" w:eastAsia="Times New Roman" w:hAnsi="Lato"/>
          <w:sz w:val="20"/>
          <w:szCs w:val="20"/>
        </w:rPr>
        <w:t>Parliamentary committees (child rights, social affairs, budget/finance</w:t>
      </w:r>
    </w:p>
    <w:p w14:paraId="24500840" w14:textId="77777777" w:rsidR="001A3B97" w:rsidRPr="00A2426E" w:rsidRDefault="001A3B97" w:rsidP="001A3B97">
      <w:pPr>
        <w:pStyle w:val="ListParagraph"/>
        <w:numPr>
          <w:ilvl w:val="0"/>
          <w:numId w:val="26"/>
        </w:numPr>
        <w:spacing w:line="259" w:lineRule="auto"/>
        <w:rPr>
          <w:rFonts w:ascii="Lato" w:eastAsia="Times New Roman" w:hAnsi="Lato"/>
          <w:sz w:val="20"/>
          <w:szCs w:val="20"/>
        </w:rPr>
      </w:pPr>
      <w:r w:rsidRPr="00A2426E">
        <w:rPr>
          <w:rFonts w:ascii="Lato" w:eastAsia="Times New Roman" w:hAnsi="Lato"/>
          <w:sz w:val="20"/>
          <w:szCs w:val="20"/>
        </w:rPr>
        <w:t>Ministries of Finance and Planning (critical for budgeting and resource allocation)</w:t>
      </w:r>
    </w:p>
    <w:p w14:paraId="2D594ADB" w14:textId="77777777" w:rsidR="001A3B97" w:rsidRPr="00A2426E" w:rsidRDefault="001A3B97" w:rsidP="001A3B97">
      <w:pPr>
        <w:spacing w:after="0"/>
        <w:rPr>
          <w:rFonts w:ascii="Lato" w:eastAsia="Times New Roman" w:hAnsi="Lato"/>
          <w:sz w:val="20"/>
          <w:szCs w:val="20"/>
        </w:rPr>
      </w:pPr>
    </w:p>
    <w:p w14:paraId="55997199" w14:textId="77777777" w:rsidR="001A3B97" w:rsidRPr="00A2426E" w:rsidRDefault="001A3B97" w:rsidP="001A3B97">
      <w:pPr>
        <w:spacing w:after="0"/>
        <w:rPr>
          <w:rFonts w:ascii="Lato" w:eastAsia="Times New Roman" w:hAnsi="Lato"/>
          <w:b/>
          <w:bCs/>
          <w:sz w:val="20"/>
          <w:szCs w:val="20"/>
        </w:rPr>
      </w:pPr>
      <w:r w:rsidRPr="00A2426E">
        <w:rPr>
          <w:rFonts w:ascii="Lato" w:eastAsia="Times New Roman" w:hAnsi="Lato"/>
          <w:b/>
          <w:bCs/>
          <w:sz w:val="20"/>
          <w:szCs w:val="20"/>
        </w:rPr>
        <w:t>2. Influencers / Power Brokers (Shape norms, decisions, and resource flows)</w:t>
      </w:r>
    </w:p>
    <w:p w14:paraId="7AA7E3B4" w14:textId="77777777" w:rsidR="001A3B97" w:rsidRPr="00A2426E" w:rsidRDefault="001A3B97" w:rsidP="001A3B97">
      <w:pPr>
        <w:spacing w:after="0"/>
        <w:rPr>
          <w:rFonts w:ascii="Lato" w:eastAsia="Times New Roman" w:hAnsi="Lato"/>
          <w:sz w:val="20"/>
          <w:szCs w:val="20"/>
        </w:rPr>
      </w:pPr>
    </w:p>
    <w:p w14:paraId="15D76A87" w14:textId="77777777" w:rsidR="001A3B97" w:rsidRPr="00A2426E" w:rsidRDefault="001A3B97" w:rsidP="001A3B97">
      <w:pPr>
        <w:pStyle w:val="ListParagraph"/>
        <w:numPr>
          <w:ilvl w:val="0"/>
          <w:numId w:val="27"/>
        </w:numPr>
        <w:spacing w:line="259" w:lineRule="auto"/>
        <w:rPr>
          <w:rFonts w:ascii="Lato" w:eastAsia="Times New Roman" w:hAnsi="Lato"/>
          <w:sz w:val="20"/>
          <w:szCs w:val="20"/>
        </w:rPr>
      </w:pPr>
      <w:r w:rsidRPr="00A2426E">
        <w:rPr>
          <w:rFonts w:ascii="Lato" w:eastAsia="Times New Roman" w:hAnsi="Lato"/>
          <w:sz w:val="20"/>
          <w:szCs w:val="20"/>
        </w:rPr>
        <w:t>Religious leaders and customary elders (key norm setters and gatekeepers)</w:t>
      </w:r>
    </w:p>
    <w:p w14:paraId="041E7385" w14:textId="77777777" w:rsidR="001A3B97" w:rsidRPr="00A2426E" w:rsidRDefault="001A3B97" w:rsidP="001A3B97">
      <w:pPr>
        <w:pStyle w:val="ListParagraph"/>
        <w:numPr>
          <w:ilvl w:val="0"/>
          <w:numId w:val="27"/>
        </w:numPr>
        <w:spacing w:line="259" w:lineRule="auto"/>
        <w:rPr>
          <w:rFonts w:ascii="Lato" w:eastAsia="Times New Roman" w:hAnsi="Lato"/>
          <w:sz w:val="20"/>
          <w:szCs w:val="20"/>
        </w:rPr>
      </w:pPr>
      <w:r w:rsidRPr="00A2426E">
        <w:rPr>
          <w:rFonts w:ascii="Lato" w:eastAsia="Times New Roman" w:hAnsi="Lato"/>
          <w:sz w:val="20"/>
          <w:szCs w:val="20"/>
        </w:rPr>
        <w:t>Civil society coalitions (e.g., child rights coalitions), women’s networks, youth platforms, and Disabled Persons’ Organizations (DPOs)</w:t>
      </w:r>
    </w:p>
    <w:p w14:paraId="1F426AD1" w14:textId="77777777" w:rsidR="001A3B97" w:rsidRPr="00A2426E" w:rsidRDefault="001A3B97" w:rsidP="001A3B97">
      <w:pPr>
        <w:pStyle w:val="ListParagraph"/>
        <w:numPr>
          <w:ilvl w:val="0"/>
          <w:numId w:val="27"/>
        </w:numPr>
        <w:spacing w:line="259" w:lineRule="auto"/>
        <w:rPr>
          <w:rFonts w:ascii="Lato" w:eastAsia="Times New Roman" w:hAnsi="Lato"/>
          <w:sz w:val="20"/>
          <w:szCs w:val="20"/>
        </w:rPr>
      </w:pPr>
      <w:r w:rsidRPr="00A2426E">
        <w:rPr>
          <w:rFonts w:ascii="Lato" w:eastAsia="Times New Roman" w:hAnsi="Lato"/>
          <w:sz w:val="20"/>
          <w:szCs w:val="20"/>
        </w:rPr>
        <w:t>Media houses and journalists shaping public discourse and accountability</w:t>
      </w:r>
    </w:p>
    <w:p w14:paraId="5208A1ED" w14:textId="77777777" w:rsidR="001A3B97" w:rsidRPr="00A2426E" w:rsidRDefault="001A3B97" w:rsidP="001A3B97">
      <w:pPr>
        <w:pStyle w:val="ListParagraph"/>
        <w:numPr>
          <w:ilvl w:val="0"/>
          <w:numId w:val="27"/>
        </w:numPr>
        <w:spacing w:line="259" w:lineRule="auto"/>
        <w:rPr>
          <w:rFonts w:ascii="Lato" w:eastAsia="Times New Roman" w:hAnsi="Lato"/>
          <w:sz w:val="20"/>
          <w:szCs w:val="20"/>
        </w:rPr>
      </w:pPr>
      <w:r w:rsidRPr="00A2426E">
        <w:rPr>
          <w:rFonts w:ascii="Lato" w:eastAsia="Times New Roman" w:hAnsi="Lato"/>
          <w:sz w:val="20"/>
          <w:szCs w:val="20"/>
        </w:rPr>
        <w:t>Academia, research institutions, and policy platforms</w:t>
      </w:r>
    </w:p>
    <w:p w14:paraId="3038DE4F" w14:textId="77777777" w:rsidR="001A3B97" w:rsidRPr="00A2426E" w:rsidRDefault="001A3B97" w:rsidP="001A3B97">
      <w:pPr>
        <w:pStyle w:val="ListParagraph"/>
        <w:numPr>
          <w:ilvl w:val="0"/>
          <w:numId w:val="27"/>
        </w:numPr>
        <w:spacing w:line="259" w:lineRule="auto"/>
        <w:rPr>
          <w:rFonts w:ascii="Lato" w:eastAsia="Times New Roman" w:hAnsi="Lato"/>
          <w:sz w:val="20"/>
          <w:szCs w:val="20"/>
        </w:rPr>
      </w:pPr>
      <w:r w:rsidRPr="00A2426E">
        <w:rPr>
          <w:rFonts w:ascii="Lato" w:eastAsia="Times New Roman" w:hAnsi="Lato"/>
          <w:sz w:val="20"/>
          <w:szCs w:val="20"/>
        </w:rPr>
        <w:t>Donor agencies, UN bodies, and development partners (agenda-setting and financing influence)</w:t>
      </w:r>
    </w:p>
    <w:p w14:paraId="10B5550B" w14:textId="77777777" w:rsidR="001A3B97" w:rsidRPr="00A2426E" w:rsidRDefault="001A3B97" w:rsidP="001A3B97">
      <w:pPr>
        <w:pStyle w:val="ListParagraph"/>
        <w:numPr>
          <w:ilvl w:val="0"/>
          <w:numId w:val="27"/>
        </w:numPr>
        <w:spacing w:line="259" w:lineRule="auto"/>
        <w:rPr>
          <w:rFonts w:ascii="Lato" w:eastAsia="Times New Roman" w:hAnsi="Lato"/>
          <w:sz w:val="20"/>
          <w:szCs w:val="20"/>
        </w:rPr>
      </w:pPr>
      <w:r w:rsidRPr="00A2426E">
        <w:rPr>
          <w:rFonts w:ascii="Lato" w:eastAsia="Times New Roman" w:hAnsi="Lato"/>
          <w:sz w:val="20"/>
          <w:szCs w:val="20"/>
        </w:rPr>
        <w:lastRenderedPageBreak/>
        <w:t>Private sector actors (investors, CSR initiatives, telecom and digital platforms influencing protection and outreach)</w:t>
      </w:r>
    </w:p>
    <w:p w14:paraId="178C4065" w14:textId="77777777" w:rsidR="001A3B97" w:rsidRPr="00A2426E" w:rsidRDefault="001A3B97" w:rsidP="001A3B97">
      <w:pPr>
        <w:spacing w:after="0"/>
        <w:rPr>
          <w:rFonts w:ascii="Lato" w:eastAsia="Times New Roman" w:hAnsi="Lato"/>
          <w:sz w:val="20"/>
          <w:szCs w:val="20"/>
        </w:rPr>
      </w:pPr>
    </w:p>
    <w:p w14:paraId="7A8F1B69" w14:textId="77777777" w:rsidR="001A3B97" w:rsidRPr="00A2426E" w:rsidRDefault="001A3B97" w:rsidP="001A3B97">
      <w:pPr>
        <w:spacing w:after="0"/>
        <w:rPr>
          <w:rFonts w:ascii="Lato" w:eastAsia="Times New Roman" w:hAnsi="Lato"/>
          <w:b/>
          <w:bCs/>
          <w:sz w:val="20"/>
          <w:szCs w:val="20"/>
        </w:rPr>
      </w:pPr>
      <w:r w:rsidRPr="00A2426E">
        <w:rPr>
          <w:rFonts w:ascii="Lato" w:eastAsia="Times New Roman" w:hAnsi="Lato"/>
          <w:b/>
          <w:bCs/>
          <w:sz w:val="20"/>
          <w:szCs w:val="20"/>
        </w:rPr>
        <w:t>3. Rights-Holders (Entitled to rights and central to accountability)</w:t>
      </w:r>
    </w:p>
    <w:p w14:paraId="5F1B783D" w14:textId="77777777" w:rsidR="001A3B97" w:rsidRPr="00A2426E" w:rsidRDefault="001A3B97" w:rsidP="001A3B97">
      <w:pPr>
        <w:spacing w:after="0"/>
        <w:rPr>
          <w:rFonts w:ascii="Lato" w:eastAsia="Times New Roman" w:hAnsi="Lato"/>
          <w:sz w:val="20"/>
          <w:szCs w:val="20"/>
        </w:rPr>
      </w:pPr>
    </w:p>
    <w:p w14:paraId="3BE0A7FC" w14:textId="77777777" w:rsidR="001A3B97" w:rsidRPr="00A2426E" w:rsidRDefault="001A3B97" w:rsidP="001A3B97">
      <w:pPr>
        <w:pStyle w:val="ListParagraph"/>
        <w:numPr>
          <w:ilvl w:val="0"/>
          <w:numId w:val="28"/>
        </w:numPr>
        <w:spacing w:line="259" w:lineRule="auto"/>
        <w:rPr>
          <w:rFonts w:ascii="Lato" w:eastAsia="Times New Roman" w:hAnsi="Lato"/>
          <w:sz w:val="20"/>
          <w:szCs w:val="20"/>
        </w:rPr>
      </w:pPr>
      <w:r w:rsidRPr="00A2426E">
        <w:rPr>
          <w:rFonts w:ascii="Lato" w:eastAsia="Times New Roman" w:hAnsi="Lato"/>
          <w:sz w:val="20"/>
          <w:szCs w:val="20"/>
        </w:rPr>
        <w:t>Children and adolescents, including:</w:t>
      </w:r>
    </w:p>
    <w:p w14:paraId="349930A2" w14:textId="77777777" w:rsidR="001A3B97" w:rsidRPr="00A2426E" w:rsidRDefault="001A3B97" w:rsidP="001A3B97">
      <w:pPr>
        <w:pStyle w:val="ListParagraph"/>
        <w:numPr>
          <w:ilvl w:val="0"/>
          <w:numId w:val="28"/>
        </w:numPr>
        <w:spacing w:line="259" w:lineRule="auto"/>
        <w:rPr>
          <w:rFonts w:ascii="Lato" w:eastAsia="Times New Roman" w:hAnsi="Lato"/>
          <w:sz w:val="20"/>
          <w:szCs w:val="20"/>
        </w:rPr>
      </w:pPr>
      <w:r w:rsidRPr="00A2426E">
        <w:rPr>
          <w:rFonts w:ascii="Lato" w:eastAsia="Times New Roman" w:hAnsi="Lato"/>
          <w:sz w:val="20"/>
          <w:szCs w:val="20"/>
        </w:rPr>
        <w:t>Girls and boys</w:t>
      </w:r>
    </w:p>
    <w:p w14:paraId="73EB98A1" w14:textId="77777777" w:rsidR="001A3B97" w:rsidRPr="00A2426E" w:rsidRDefault="001A3B97" w:rsidP="001A3B97">
      <w:pPr>
        <w:pStyle w:val="ListParagraph"/>
        <w:numPr>
          <w:ilvl w:val="0"/>
          <w:numId w:val="28"/>
        </w:numPr>
        <w:spacing w:line="259" w:lineRule="auto"/>
        <w:rPr>
          <w:rFonts w:ascii="Lato" w:eastAsia="Times New Roman" w:hAnsi="Lato"/>
          <w:sz w:val="20"/>
          <w:szCs w:val="20"/>
        </w:rPr>
      </w:pPr>
      <w:r w:rsidRPr="00A2426E">
        <w:rPr>
          <w:rFonts w:ascii="Lato" w:eastAsia="Times New Roman" w:hAnsi="Lato"/>
          <w:sz w:val="20"/>
          <w:szCs w:val="20"/>
        </w:rPr>
        <w:t>Internally displaced children</w:t>
      </w:r>
    </w:p>
    <w:p w14:paraId="304B5A44" w14:textId="77777777" w:rsidR="001A3B97" w:rsidRPr="00A2426E" w:rsidRDefault="001A3B97" w:rsidP="001A3B97">
      <w:pPr>
        <w:pStyle w:val="ListParagraph"/>
        <w:numPr>
          <w:ilvl w:val="0"/>
          <w:numId w:val="28"/>
        </w:numPr>
        <w:spacing w:line="259" w:lineRule="auto"/>
        <w:rPr>
          <w:rFonts w:ascii="Lato" w:eastAsia="Times New Roman" w:hAnsi="Lato"/>
          <w:sz w:val="20"/>
          <w:szCs w:val="20"/>
        </w:rPr>
      </w:pPr>
      <w:r w:rsidRPr="00A2426E">
        <w:rPr>
          <w:rFonts w:ascii="Lato" w:eastAsia="Times New Roman" w:hAnsi="Lato"/>
          <w:sz w:val="20"/>
          <w:szCs w:val="20"/>
        </w:rPr>
        <w:t>Children with disabilities</w:t>
      </w:r>
    </w:p>
    <w:p w14:paraId="55D2AD41" w14:textId="77777777" w:rsidR="001A3B97" w:rsidRPr="00A2426E" w:rsidRDefault="001A3B97" w:rsidP="001A3B97">
      <w:pPr>
        <w:pStyle w:val="ListParagraph"/>
        <w:numPr>
          <w:ilvl w:val="0"/>
          <w:numId w:val="28"/>
        </w:numPr>
        <w:spacing w:line="259" w:lineRule="auto"/>
        <w:rPr>
          <w:rFonts w:ascii="Lato" w:eastAsia="Times New Roman" w:hAnsi="Lato"/>
          <w:sz w:val="20"/>
          <w:szCs w:val="20"/>
        </w:rPr>
      </w:pPr>
      <w:r w:rsidRPr="00A2426E">
        <w:rPr>
          <w:rFonts w:ascii="Lato" w:eastAsia="Times New Roman" w:hAnsi="Lato"/>
          <w:sz w:val="20"/>
          <w:szCs w:val="20"/>
        </w:rPr>
        <w:t>Marginalized and minority groups</w:t>
      </w:r>
    </w:p>
    <w:p w14:paraId="0E4D8C8E" w14:textId="77777777" w:rsidR="001A3B97" w:rsidRPr="00A2426E" w:rsidRDefault="001A3B97" w:rsidP="001A3B97">
      <w:pPr>
        <w:pStyle w:val="ListParagraph"/>
        <w:numPr>
          <w:ilvl w:val="0"/>
          <w:numId w:val="28"/>
        </w:numPr>
        <w:spacing w:line="259" w:lineRule="auto"/>
        <w:rPr>
          <w:rFonts w:ascii="Lato" w:eastAsia="Times New Roman" w:hAnsi="Lato"/>
          <w:sz w:val="20"/>
          <w:szCs w:val="20"/>
        </w:rPr>
      </w:pPr>
      <w:r w:rsidRPr="00A2426E">
        <w:rPr>
          <w:rFonts w:ascii="Lato" w:eastAsia="Times New Roman" w:hAnsi="Lato"/>
          <w:sz w:val="20"/>
          <w:szCs w:val="20"/>
        </w:rPr>
        <w:t>Child-led structures: girls’ clubs, child champions, youth advocates</w:t>
      </w:r>
    </w:p>
    <w:p w14:paraId="5015D351" w14:textId="77777777" w:rsidR="001A3B97" w:rsidRDefault="001A3B97" w:rsidP="001A3B97">
      <w:pPr>
        <w:tabs>
          <w:tab w:val="left" w:pos="920"/>
        </w:tabs>
        <w:spacing w:after="0"/>
        <w:rPr>
          <w:rFonts w:ascii="Lato" w:eastAsia="Times New Roman" w:hAnsi="Lato"/>
          <w:b/>
          <w:bCs/>
          <w:sz w:val="20"/>
          <w:szCs w:val="20"/>
        </w:rPr>
      </w:pPr>
    </w:p>
    <w:p w14:paraId="705898F3" w14:textId="77777777" w:rsidR="001A3B97" w:rsidRDefault="001A3B97" w:rsidP="001A3B97">
      <w:pPr>
        <w:tabs>
          <w:tab w:val="left" w:pos="920"/>
        </w:tabs>
        <w:spacing w:after="0"/>
        <w:rPr>
          <w:rFonts w:ascii="Lato" w:eastAsia="Times New Roman" w:hAnsi="Lato"/>
          <w:b/>
          <w:bCs/>
          <w:sz w:val="20"/>
          <w:szCs w:val="20"/>
        </w:rPr>
      </w:pPr>
      <w:r w:rsidRPr="00C16504">
        <w:rPr>
          <w:rFonts w:ascii="Lato" w:eastAsia="Times New Roman" w:hAnsi="Lato"/>
          <w:b/>
          <w:bCs/>
          <w:sz w:val="20"/>
          <w:szCs w:val="20"/>
        </w:rPr>
        <w:t>Methodology</w:t>
      </w:r>
    </w:p>
    <w:p w14:paraId="11F089E8" w14:textId="77777777" w:rsidR="001A3B97" w:rsidRDefault="001A3B97" w:rsidP="001A3B97">
      <w:pPr>
        <w:tabs>
          <w:tab w:val="left" w:pos="920"/>
        </w:tabs>
        <w:spacing w:after="0"/>
        <w:rPr>
          <w:rFonts w:ascii="Lato" w:eastAsia="Times New Roman" w:hAnsi="Lato"/>
          <w:b/>
          <w:bCs/>
          <w:sz w:val="20"/>
          <w:szCs w:val="20"/>
        </w:rPr>
      </w:pPr>
    </w:p>
    <w:p w14:paraId="53E744D9" w14:textId="77777777" w:rsidR="001A3B97" w:rsidRPr="00900FFD" w:rsidRDefault="001A3B97" w:rsidP="001A3B97">
      <w:pPr>
        <w:tabs>
          <w:tab w:val="left" w:pos="920"/>
        </w:tabs>
        <w:spacing w:after="0"/>
        <w:rPr>
          <w:rFonts w:ascii="Lato" w:eastAsia="Times New Roman" w:hAnsi="Lato"/>
          <w:b/>
          <w:bCs/>
          <w:sz w:val="20"/>
          <w:szCs w:val="20"/>
        </w:rPr>
      </w:pPr>
      <w:r w:rsidRPr="00900FFD">
        <w:rPr>
          <w:rFonts w:ascii="Lato" w:eastAsia="Times New Roman" w:hAnsi="Lato"/>
          <w:sz w:val="20"/>
          <w:szCs w:val="20"/>
        </w:rPr>
        <w:t xml:space="preserve">The consultant will employ a </w:t>
      </w:r>
      <w:r w:rsidRPr="00900FFD">
        <w:rPr>
          <w:rFonts w:ascii="Lato" w:eastAsia="Times New Roman" w:hAnsi="Lato"/>
          <w:b/>
          <w:bCs/>
          <w:sz w:val="20"/>
          <w:szCs w:val="20"/>
        </w:rPr>
        <w:t>mixed-methods approach</w:t>
      </w:r>
      <w:r w:rsidRPr="00900FFD">
        <w:rPr>
          <w:rFonts w:ascii="Lato" w:eastAsia="Times New Roman" w:hAnsi="Lato"/>
          <w:sz w:val="20"/>
          <w:szCs w:val="20"/>
        </w:rPr>
        <w:t xml:space="preserve"> to ensure a rigorous, participatory, and rights-based Political Economy Analysis:</w:t>
      </w:r>
    </w:p>
    <w:p w14:paraId="6A49222E" w14:textId="77777777" w:rsidR="001A3B97" w:rsidRPr="00900FFD" w:rsidRDefault="001A3B97" w:rsidP="001A3B97">
      <w:pPr>
        <w:numPr>
          <w:ilvl w:val="0"/>
          <w:numId w:val="18"/>
        </w:numPr>
        <w:spacing w:before="100" w:beforeAutospacing="1" w:after="100" w:afterAutospacing="1" w:line="240" w:lineRule="auto"/>
        <w:jc w:val="both"/>
        <w:rPr>
          <w:rFonts w:ascii="Lato" w:eastAsia="Times New Roman" w:hAnsi="Lato"/>
          <w:sz w:val="20"/>
          <w:szCs w:val="20"/>
        </w:rPr>
      </w:pPr>
      <w:r w:rsidRPr="00900FFD">
        <w:rPr>
          <w:rFonts w:ascii="Lato" w:eastAsia="Times New Roman" w:hAnsi="Lato"/>
          <w:b/>
          <w:bCs/>
          <w:sz w:val="20"/>
          <w:szCs w:val="20"/>
        </w:rPr>
        <w:t>Desk Review:</w:t>
      </w:r>
      <w:r w:rsidRPr="00900FFD">
        <w:rPr>
          <w:rFonts w:ascii="Lato" w:eastAsia="Times New Roman" w:hAnsi="Lato"/>
          <w:sz w:val="20"/>
          <w:szCs w:val="20"/>
        </w:rPr>
        <w:t xml:space="preserve"> Comprehensive analysis of legal and policy frameworks, parliamentary records, budget documents, donor and partner reports, and secondary literature relevant to children’s rights and protection. </w:t>
      </w:r>
    </w:p>
    <w:p w14:paraId="12B12764" w14:textId="77777777" w:rsidR="001A3B97" w:rsidRPr="00900FFD" w:rsidRDefault="001A3B97" w:rsidP="001A3B97">
      <w:pPr>
        <w:numPr>
          <w:ilvl w:val="0"/>
          <w:numId w:val="18"/>
        </w:numPr>
        <w:spacing w:before="100" w:beforeAutospacing="1" w:after="100" w:afterAutospacing="1" w:line="240" w:lineRule="auto"/>
        <w:jc w:val="both"/>
        <w:rPr>
          <w:rFonts w:ascii="Lato" w:eastAsia="Times New Roman" w:hAnsi="Lato"/>
          <w:sz w:val="20"/>
          <w:szCs w:val="20"/>
        </w:rPr>
      </w:pPr>
      <w:r w:rsidRPr="00900FFD">
        <w:rPr>
          <w:rFonts w:ascii="Lato" w:eastAsia="Times New Roman" w:hAnsi="Lato"/>
          <w:b/>
          <w:bCs/>
          <w:sz w:val="20"/>
          <w:szCs w:val="20"/>
        </w:rPr>
        <w:t>Key Informant Interviews (KIIs):</w:t>
      </w:r>
      <w:r w:rsidRPr="00900FFD">
        <w:rPr>
          <w:rFonts w:ascii="Lato" w:eastAsia="Times New Roman" w:hAnsi="Lato"/>
          <w:sz w:val="20"/>
          <w:szCs w:val="20"/>
        </w:rPr>
        <w:t xml:space="preserve"> Structured interviews with government officials, parliamentarians, CSO leaders, religious and customary authorities, journalists, and donor representatives to understand incentives, constraints, and power dynamics. </w:t>
      </w:r>
    </w:p>
    <w:p w14:paraId="3140D14A" w14:textId="77777777" w:rsidR="001A3B97" w:rsidRPr="00900FFD" w:rsidRDefault="001A3B97" w:rsidP="001A3B97">
      <w:pPr>
        <w:numPr>
          <w:ilvl w:val="0"/>
          <w:numId w:val="18"/>
        </w:numPr>
        <w:spacing w:before="100" w:beforeAutospacing="1" w:after="100" w:afterAutospacing="1" w:line="240" w:lineRule="auto"/>
        <w:jc w:val="both"/>
        <w:rPr>
          <w:rFonts w:ascii="Lato" w:eastAsia="Times New Roman" w:hAnsi="Lato"/>
          <w:sz w:val="20"/>
          <w:szCs w:val="20"/>
        </w:rPr>
      </w:pPr>
      <w:r w:rsidRPr="00900FFD">
        <w:rPr>
          <w:rFonts w:ascii="Lato" w:eastAsia="Times New Roman" w:hAnsi="Lato"/>
          <w:b/>
          <w:bCs/>
          <w:sz w:val="20"/>
          <w:szCs w:val="20"/>
        </w:rPr>
        <w:t>Focus Group Discussions (FGDs):</w:t>
      </w:r>
      <w:r w:rsidRPr="00900FFD">
        <w:rPr>
          <w:rFonts w:ascii="Lato" w:eastAsia="Times New Roman" w:hAnsi="Lato"/>
          <w:sz w:val="20"/>
          <w:szCs w:val="20"/>
        </w:rPr>
        <w:t xml:space="preserve"> Facilitated sessions with caregivers, youth, and child rights advocates, conducted under strict safeguarding and ethical protocols to ensure confidentiality, consent, and protection from harm. </w:t>
      </w:r>
    </w:p>
    <w:p w14:paraId="1EA9D2EF" w14:textId="77777777" w:rsidR="001A3B97" w:rsidRPr="00900FFD" w:rsidRDefault="001A3B97" w:rsidP="001A3B97">
      <w:pPr>
        <w:numPr>
          <w:ilvl w:val="0"/>
          <w:numId w:val="18"/>
        </w:numPr>
        <w:spacing w:before="100" w:beforeAutospacing="1" w:after="100" w:afterAutospacing="1" w:line="240" w:lineRule="auto"/>
        <w:jc w:val="both"/>
        <w:rPr>
          <w:rFonts w:ascii="Lato" w:eastAsia="Times New Roman" w:hAnsi="Lato"/>
          <w:sz w:val="20"/>
          <w:szCs w:val="20"/>
        </w:rPr>
      </w:pPr>
      <w:r w:rsidRPr="00900FFD">
        <w:rPr>
          <w:rFonts w:ascii="Lato" w:eastAsia="Times New Roman" w:hAnsi="Lato"/>
          <w:b/>
          <w:bCs/>
          <w:sz w:val="20"/>
          <w:szCs w:val="20"/>
        </w:rPr>
        <w:t>Child and Youth Participation:</w:t>
      </w:r>
      <w:r w:rsidRPr="00900FFD">
        <w:rPr>
          <w:rFonts w:ascii="Lato" w:eastAsia="Times New Roman" w:hAnsi="Lato"/>
          <w:sz w:val="20"/>
          <w:szCs w:val="20"/>
        </w:rPr>
        <w:t xml:space="preserve"> Children, youth champions, and participants in child rights forums will be </w:t>
      </w:r>
      <w:r w:rsidRPr="00900FFD">
        <w:rPr>
          <w:rFonts w:ascii="Lato" w:eastAsia="Times New Roman" w:hAnsi="Lato"/>
          <w:b/>
          <w:bCs/>
          <w:sz w:val="20"/>
          <w:szCs w:val="20"/>
        </w:rPr>
        <w:t>safely and ethically consulted</w:t>
      </w:r>
      <w:r w:rsidRPr="00900FFD">
        <w:rPr>
          <w:rFonts w:ascii="Lato" w:eastAsia="Times New Roman" w:hAnsi="Lato"/>
          <w:sz w:val="20"/>
          <w:szCs w:val="20"/>
        </w:rPr>
        <w:t xml:space="preserve"> to ensure the perspectives, experiences, and priorities of rights-holders are central to the analysis. All engagement will adhere to international child protection standards and SC safeguarding policies. </w:t>
      </w:r>
    </w:p>
    <w:p w14:paraId="740DE680" w14:textId="77777777" w:rsidR="001A3B97" w:rsidRPr="00900FFD" w:rsidRDefault="001A3B97" w:rsidP="001A3B97">
      <w:pPr>
        <w:numPr>
          <w:ilvl w:val="0"/>
          <w:numId w:val="18"/>
        </w:numPr>
        <w:spacing w:before="100" w:beforeAutospacing="1" w:after="100" w:afterAutospacing="1" w:line="240" w:lineRule="auto"/>
        <w:jc w:val="both"/>
        <w:rPr>
          <w:rFonts w:ascii="Lato" w:eastAsia="Times New Roman" w:hAnsi="Lato"/>
          <w:sz w:val="20"/>
          <w:szCs w:val="20"/>
        </w:rPr>
      </w:pPr>
      <w:r w:rsidRPr="00900FFD">
        <w:rPr>
          <w:rFonts w:ascii="Lato" w:eastAsia="Times New Roman" w:hAnsi="Lato"/>
          <w:b/>
          <w:bCs/>
          <w:sz w:val="20"/>
          <w:szCs w:val="20"/>
        </w:rPr>
        <w:t>Media and Social Listening:</w:t>
      </w:r>
      <w:r w:rsidRPr="00900FFD">
        <w:rPr>
          <w:rFonts w:ascii="Lato" w:eastAsia="Times New Roman" w:hAnsi="Lato"/>
          <w:sz w:val="20"/>
          <w:szCs w:val="20"/>
        </w:rPr>
        <w:t xml:space="preserve"> Rapid review of television, radio, and digital platforms to capture narratives, public perceptions, advocacy trends, and emerging issues related to children’s rights. </w:t>
      </w:r>
    </w:p>
    <w:p w14:paraId="5450A7DF" w14:textId="77777777" w:rsidR="001A3B97" w:rsidRPr="00900FFD" w:rsidRDefault="001A3B97" w:rsidP="001A3B97">
      <w:pPr>
        <w:numPr>
          <w:ilvl w:val="0"/>
          <w:numId w:val="18"/>
        </w:numPr>
        <w:spacing w:before="100" w:beforeAutospacing="1" w:after="100" w:afterAutospacing="1" w:line="240" w:lineRule="auto"/>
        <w:jc w:val="both"/>
        <w:rPr>
          <w:rFonts w:ascii="Lato" w:eastAsia="Times New Roman" w:hAnsi="Lato"/>
          <w:sz w:val="20"/>
          <w:szCs w:val="20"/>
        </w:rPr>
      </w:pPr>
      <w:r w:rsidRPr="00900FFD">
        <w:rPr>
          <w:rFonts w:ascii="Lato" w:eastAsia="Times New Roman" w:hAnsi="Lato"/>
          <w:b/>
          <w:bCs/>
          <w:sz w:val="20"/>
          <w:szCs w:val="20"/>
        </w:rPr>
        <w:t>Organizational Survey:</w:t>
      </w:r>
      <w:r w:rsidRPr="00900FFD">
        <w:rPr>
          <w:rFonts w:ascii="Lato" w:eastAsia="Times New Roman" w:hAnsi="Lato"/>
          <w:sz w:val="20"/>
          <w:szCs w:val="20"/>
        </w:rPr>
        <w:t xml:space="preserve"> Structured survey of CSOs and coalitions to assess organizational capacity, reach, influence, and collaboration networks. </w:t>
      </w:r>
    </w:p>
    <w:p w14:paraId="3544FB17" w14:textId="77777777" w:rsidR="001A3B97" w:rsidRPr="00900FFD" w:rsidRDefault="001A3B97" w:rsidP="001A3B97">
      <w:pPr>
        <w:numPr>
          <w:ilvl w:val="0"/>
          <w:numId w:val="18"/>
        </w:numPr>
        <w:spacing w:before="100" w:beforeAutospacing="1" w:after="100" w:afterAutospacing="1" w:line="240" w:lineRule="auto"/>
        <w:jc w:val="both"/>
        <w:rPr>
          <w:rFonts w:ascii="Lato" w:eastAsia="Times New Roman" w:hAnsi="Lato"/>
          <w:sz w:val="20"/>
          <w:szCs w:val="20"/>
        </w:rPr>
      </w:pPr>
      <w:r w:rsidRPr="00900FFD">
        <w:rPr>
          <w:rFonts w:ascii="Lato" w:eastAsia="Times New Roman" w:hAnsi="Lato"/>
          <w:b/>
          <w:bCs/>
          <w:sz w:val="20"/>
          <w:szCs w:val="20"/>
        </w:rPr>
        <w:t>Validation Workshops:</w:t>
      </w:r>
      <w:r w:rsidRPr="00900FFD">
        <w:rPr>
          <w:rFonts w:ascii="Lato" w:eastAsia="Times New Roman" w:hAnsi="Lato"/>
          <w:sz w:val="20"/>
          <w:szCs w:val="20"/>
        </w:rPr>
        <w:t xml:space="preserve"> Joint workshops with CSOs, government representatives, and other stakeholders to test, refine, and validate findings, ensuring recommendations are contextually feasible and politically informed</w:t>
      </w:r>
    </w:p>
    <w:p w14:paraId="32617C78" w14:textId="77777777" w:rsidR="001A3B97" w:rsidRPr="0006445F" w:rsidRDefault="001A3B97" w:rsidP="001A3B97">
      <w:pPr>
        <w:numPr>
          <w:ilvl w:val="0"/>
          <w:numId w:val="18"/>
        </w:numPr>
        <w:tabs>
          <w:tab w:val="left" w:pos="920"/>
        </w:tabs>
        <w:spacing w:after="0" w:line="259" w:lineRule="auto"/>
        <w:jc w:val="both"/>
        <w:rPr>
          <w:rFonts w:ascii="Lato" w:eastAsia="Times New Roman" w:hAnsi="Lato"/>
          <w:sz w:val="20"/>
          <w:szCs w:val="20"/>
        </w:rPr>
      </w:pPr>
      <w:r w:rsidRPr="00900FFD">
        <w:rPr>
          <w:rFonts w:ascii="Lato" w:eastAsia="Times New Roman" w:hAnsi="Lato"/>
          <w:b/>
          <w:bCs/>
          <w:sz w:val="20"/>
          <w:szCs w:val="20"/>
        </w:rPr>
        <w:t>Validation Workshops:</w:t>
      </w:r>
      <w:r w:rsidRPr="00900FFD">
        <w:rPr>
          <w:rFonts w:ascii="Lato" w:eastAsia="Times New Roman" w:hAnsi="Lato"/>
          <w:sz w:val="20"/>
          <w:szCs w:val="20"/>
        </w:rPr>
        <w:t xml:space="preserve"> Joint sessions with CSOs and government stakeholders to test, refine, and validate findings.</w:t>
      </w:r>
    </w:p>
    <w:p w14:paraId="60F0DCA3" w14:textId="77777777" w:rsidR="001A3B97" w:rsidRPr="00C16504" w:rsidRDefault="001A3B97" w:rsidP="001A3B97">
      <w:pPr>
        <w:tabs>
          <w:tab w:val="left" w:pos="920"/>
        </w:tabs>
        <w:rPr>
          <w:rFonts w:ascii="Lato" w:eastAsia="Times New Roman" w:hAnsi="Lato"/>
          <w:b/>
          <w:bCs/>
          <w:sz w:val="20"/>
          <w:szCs w:val="20"/>
        </w:rPr>
      </w:pPr>
      <w:r w:rsidRPr="00C16504">
        <w:rPr>
          <w:rFonts w:ascii="Lato" w:eastAsia="Times New Roman" w:hAnsi="Lato"/>
          <w:b/>
          <w:bCs/>
          <w:sz w:val="20"/>
          <w:szCs w:val="20"/>
        </w:rPr>
        <w:t>Consultant / Firm Profile</w:t>
      </w:r>
    </w:p>
    <w:p w14:paraId="134D3947" w14:textId="77777777" w:rsidR="001A3B97" w:rsidRPr="00C16504" w:rsidRDefault="001A3B97" w:rsidP="001A3B97">
      <w:pPr>
        <w:tabs>
          <w:tab w:val="left" w:pos="920"/>
        </w:tabs>
        <w:rPr>
          <w:rFonts w:ascii="Lato" w:eastAsia="Times New Roman" w:hAnsi="Lato"/>
          <w:b/>
          <w:bCs/>
          <w:sz w:val="20"/>
          <w:szCs w:val="20"/>
        </w:rPr>
      </w:pPr>
      <w:r w:rsidRPr="00C16504">
        <w:rPr>
          <w:rFonts w:ascii="Lato" w:eastAsia="Times New Roman" w:hAnsi="Lato"/>
          <w:b/>
          <w:bCs/>
          <w:sz w:val="20"/>
          <w:szCs w:val="20"/>
        </w:rPr>
        <w:t>The consultant or firm should demonstrate:</w:t>
      </w:r>
    </w:p>
    <w:p w14:paraId="149B0707" w14:textId="77777777" w:rsidR="001A3B97" w:rsidRPr="00C16504" w:rsidRDefault="001A3B97" w:rsidP="001A3B97">
      <w:pPr>
        <w:numPr>
          <w:ilvl w:val="0"/>
          <w:numId w:val="19"/>
        </w:numPr>
        <w:tabs>
          <w:tab w:val="left" w:pos="920"/>
        </w:tabs>
        <w:spacing w:after="0" w:line="259" w:lineRule="auto"/>
        <w:jc w:val="both"/>
        <w:rPr>
          <w:rFonts w:ascii="Lato" w:eastAsia="Times New Roman" w:hAnsi="Lato"/>
          <w:sz w:val="20"/>
          <w:szCs w:val="20"/>
        </w:rPr>
      </w:pPr>
      <w:r w:rsidRPr="00C16504">
        <w:rPr>
          <w:rFonts w:ascii="Lato" w:eastAsia="Times New Roman" w:hAnsi="Lato"/>
          <w:sz w:val="20"/>
          <w:szCs w:val="20"/>
        </w:rPr>
        <w:t>Proven expertise in political economy analysis in fragile and conflict-affected settings.</w:t>
      </w:r>
    </w:p>
    <w:p w14:paraId="1A694DCB" w14:textId="77777777" w:rsidR="001A3B97" w:rsidRPr="00C16504" w:rsidRDefault="001A3B97" w:rsidP="001A3B97">
      <w:pPr>
        <w:numPr>
          <w:ilvl w:val="0"/>
          <w:numId w:val="19"/>
        </w:numPr>
        <w:tabs>
          <w:tab w:val="left" w:pos="920"/>
        </w:tabs>
        <w:spacing w:after="0" w:line="259" w:lineRule="auto"/>
        <w:jc w:val="both"/>
        <w:rPr>
          <w:rFonts w:ascii="Lato" w:eastAsia="Times New Roman" w:hAnsi="Lato"/>
          <w:sz w:val="20"/>
          <w:szCs w:val="20"/>
        </w:rPr>
      </w:pPr>
      <w:r w:rsidRPr="00C16504">
        <w:rPr>
          <w:rFonts w:ascii="Lato" w:eastAsia="Times New Roman" w:hAnsi="Lato"/>
          <w:sz w:val="20"/>
          <w:szCs w:val="20"/>
        </w:rPr>
        <w:t>Strong understanding of Somalia’s political, social, and institutional context, with emphasis on child rights, gender, and disability.</w:t>
      </w:r>
    </w:p>
    <w:p w14:paraId="54DA2BB4" w14:textId="77777777" w:rsidR="001A3B97" w:rsidRPr="00C16504" w:rsidRDefault="001A3B97" w:rsidP="001A3B97">
      <w:pPr>
        <w:numPr>
          <w:ilvl w:val="0"/>
          <w:numId w:val="19"/>
        </w:numPr>
        <w:tabs>
          <w:tab w:val="left" w:pos="920"/>
        </w:tabs>
        <w:spacing w:after="0" w:line="259" w:lineRule="auto"/>
        <w:jc w:val="both"/>
        <w:rPr>
          <w:rFonts w:ascii="Lato" w:eastAsia="Times New Roman" w:hAnsi="Lato"/>
          <w:sz w:val="20"/>
          <w:szCs w:val="20"/>
        </w:rPr>
      </w:pPr>
      <w:r w:rsidRPr="00C16504">
        <w:rPr>
          <w:rFonts w:ascii="Lato" w:eastAsia="Times New Roman" w:hAnsi="Lato"/>
          <w:sz w:val="20"/>
          <w:szCs w:val="20"/>
        </w:rPr>
        <w:t>Direct experience in child rights, governance, or human rights programming.</w:t>
      </w:r>
    </w:p>
    <w:p w14:paraId="50CB72C1" w14:textId="77777777" w:rsidR="001A3B97" w:rsidRPr="00C16504" w:rsidRDefault="001A3B97" w:rsidP="001A3B97">
      <w:pPr>
        <w:numPr>
          <w:ilvl w:val="0"/>
          <w:numId w:val="19"/>
        </w:numPr>
        <w:tabs>
          <w:tab w:val="left" w:pos="920"/>
        </w:tabs>
        <w:spacing w:after="0" w:line="259" w:lineRule="auto"/>
        <w:jc w:val="both"/>
        <w:rPr>
          <w:rFonts w:ascii="Lato" w:eastAsia="Times New Roman" w:hAnsi="Lato"/>
          <w:sz w:val="20"/>
          <w:szCs w:val="20"/>
        </w:rPr>
      </w:pPr>
      <w:r w:rsidRPr="00C16504">
        <w:rPr>
          <w:rFonts w:ascii="Lato" w:eastAsia="Times New Roman" w:hAnsi="Lato"/>
          <w:sz w:val="20"/>
          <w:szCs w:val="20"/>
        </w:rPr>
        <w:t>Excellent skills in research, facilitation, stakeholder engagement, and analytical writing.</w:t>
      </w:r>
    </w:p>
    <w:p w14:paraId="27FE3234" w14:textId="77777777" w:rsidR="001A3B97" w:rsidRPr="00C16504" w:rsidRDefault="001A3B97" w:rsidP="001A3B97">
      <w:pPr>
        <w:numPr>
          <w:ilvl w:val="0"/>
          <w:numId w:val="19"/>
        </w:numPr>
        <w:tabs>
          <w:tab w:val="left" w:pos="920"/>
        </w:tabs>
        <w:spacing w:after="0" w:line="259" w:lineRule="auto"/>
        <w:jc w:val="both"/>
        <w:rPr>
          <w:rFonts w:ascii="Lato" w:eastAsia="Times New Roman" w:hAnsi="Lato"/>
          <w:sz w:val="20"/>
          <w:szCs w:val="20"/>
        </w:rPr>
      </w:pPr>
      <w:r w:rsidRPr="00C16504">
        <w:rPr>
          <w:rFonts w:ascii="Lato" w:eastAsia="Times New Roman" w:hAnsi="Lato"/>
          <w:sz w:val="20"/>
          <w:szCs w:val="20"/>
        </w:rPr>
        <w:t>Familiarity with CSO capacity assessments, coalition strengthening, and advocacy programming.</w:t>
      </w:r>
    </w:p>
    <w:p w14:paraId="5DD8B16E" w14:textId="77777777" w:rsidR="001A3B97" w:rsidRPr="00C16504" w:rsidRDefault="001A3B97" w:rsidP="001A3B97">
      <w:pPr>
        <w:numPr>
          <w:ilvl w:val="0"/>
          <w:numId w:val="19"/>
        </w:numPr>
        <w:tabs>
          <w:tab w:val="left" w:pos="920"/>
        </w:tabs>
        <w:spacing w:after="0" w:line="259" w:lineRule="auto"/>
        <w:jc w:val="both"/>
        <w:rPr>
          <w:rFonts w:ascii="Lato" w:eastAsia="Times New Roman" w:hAnsi="Lato"/>
          <w:sz w:val="20"/>
          <w:szCs w:val="20"/>
        </w:rPr>
      </w:pPr>
      <w:r w:rsidRPr="00C16504">
        <w:rPr>
          <w:rFonts w:ascii="Lato" w:eastAsia="Times New Roman" w:hAnsi="Lato"/>
          <w:sz w:val="20"/>
          <w:szCs w:val="20"/>
        </w:rPr>
        <w:t>Proficiency in Somali language and/or ability to engage Somali researchers and facilitators.</w:t>
      </w:r>
    </w:p>
    <w:p w14:paraId="5D1BC02C" w14:textId="77777777" w:rsidR="001A3B97" w:rsidRDefault="001A3B97" w:rsidP="001A3B97">
      <w:pPr>
        <w:spacing w:before="100" w:beforeAutospacing="1" w:after="100" w:afterAutospacing="1" w:line="240" w:lineRule="auto"/>
        <w:jc w:val="both"/>
        <w:outlineLvl w:val="2"/>
        <w:rPr>
          <w:rFonts w:ascii="Lato" w:eastAsia="Times New Roman" w:hAnsi="Lato"/>
          <w:b/>
          <w:bCs/>
        </w:rPr>
      </w:pPr>
    </w:p>
    <w:p w14:paraId="0CA83174" w14:textId="77777777" w:rsidR="001A3B97" w:rsidRDefault="001A3B97" w:rsidP="001A3B97">
      <w:pPr>
        <w:spacing w:before="100" w:beforeAutospacing="1" w:after="100" w:afterAutospacing="1" w:line="240" w:lineRule="auto"/>
        <w:jc w:val="both"/>
        <w:outlineLvl w:val="2"/>
        <w:rPr>
          <w:rFonts w:ascii="Lato" w:eastAsia="Times New Roman" w:hAnsi="Lato"/>
          <w:b/>
          <w:bCs/>
        </w:rPr>
      </w:pPr>
    </w:p>
    <w:p w14:paraId="2B7DDDF9" w14:textId="77777777" w:rsidR="001A3B97" w:rsidRPr="00C16504" w:rsidRDefault="001A3B97" w:rsidP="001A3B97">
      <w:pPr>
        <w:spacing w:before="100" w:beforeAutospacing="1" w:after="100" w:afterAutospacing="1" w:line="240" w:lineRule="auto"/>
        <w:jc w:val="both"/>
        <w:outlineLvl w:val="2"/>
        <w:rPr>
          <w:rFonts w:ascii="Lato" w:eastAsia="Times New Roman" w:hAnsi="Lato"/>
          <w:b/>
          <w:bCs/>
        </w:rPr>
      </w:pPr>
      <w:r w:rsidRPr="00C16504">
        <w:rPr>
          <w:rFonts w:ascii="Lato" w:eastAsia="Times New Roman" w:hAnsi="Lato"/>
          <w:b/>
          <w:bCs/>
        </w:rPr>
        <w:lastRenderedPageBreak/>
        <w:t>Deliverables</w:t>
      </w:r>
    </w:p>
    <w:p w14:paraId="16B96117" w14:textId="77777777" w:rsidR="001A3B97" w:rsidRPr="00C16504" w:rsidRDefault="001A3B97" w:rsidP="001A3B97">
      <w:p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The consultant will produce a set of high-quality, actionable outputs:</w:t>
      </w:r>
    </w:p>
    <w:p w14:paraId="60CE7BB5" w14:textId="77777777" w:rsidR="001A3B97" w:rsidRPr="00C16504" w:rsidRDefault="001A3B97" w:rsidP="001A3B97">
      <w:pPr>
        <w:numPr>
          <w:ilvl w:val="0"/>
          <w:numId w:val="20"/>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b/>
          <w:bCs/>
          <w:sz w:val="20"/>
          <w:szCs w:val="20"/>
        </w:rPr>
        <w:t>Inception Phase</w:t>
      </w:r>
    </w:p>
    <w:p w14:paraId="6C6CAC1D" w14:textId="77777777" w:rsidR="001A3B97" w:rsidRPr="00C16504" w:rsidRDefault="001A3B97" w:rsidP="001A3B97">
      <w:pPr>
        <w:numPr>
          <w:ilvl w:val="1"/>
          <w:numId w:val="20"/>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Refined scope and methodology aligned with CRC, ACRWC, and SDG frameworks.</w:t>
      </w:r>
    </w:p>
    <w:p w14:paraId="2013BAD1" w14:textId="77777777" w:rsidR="001A3B97" w:rsidRPr="00C16504" w:rsidRDefault="001A3B97" w:rsidP="001A3B97">
      <w:pPr>
        <w:numPr>
          <w:ilvl w:val="1"/>
          <w:numId w:val="20"/>
        </w:numPr>
        <w:spacing w:after="0" w:line="240" w:lineRule="auto"/>
        <w:jc w:val="both"/>
        <w:rPr>
          <w:rFonts w:ascii="Lato" w:eastAsia="Times New Roman" w:hAnsi="Lato"/>
          <w:sz w:val="20"/>
          <w:szCs w:val="20"/>
        </w:rPr>
      </w:pPr>
      <w:r w:rsidRPr="00C16504">
        <w:rPr>
          <w:rFonts w:ascii="Lato" w:eastAsia="Times New Roman" w:hAnsi="Lato"/>
          <w:sz w:val="20"/>
          <w:szCs w:val="20"/>
        </w:rPr>
        <w:t>Detailed workplan, timeline, and stakeholder engagement plan.</w:t>
      </w:r>
    </w:p>
    <w:p w14:paraId="2FF29528" w14:textId="77777777" w:rsidR="001A3B97" w:rsidRPr="00C16504" w:rsidRDefault="001A3B97" w:rsidP="001A3B97">
      <w:pPr>
        <w:spacing w:after="0" w:line="240" w:lineRule="auto"/>
        <w:ind w:left="1080"/>
        <w:jc w:val="both"/>
        <w:rPr>
          <w:rFonts w:ascii="Lato" w:eastAsia="Times New Roman" w:hAnsi="Lato"/>
          <w:sz w:val="20"/>
          <w:szCs w:val="20"/>
        </w:rPr>
      </w:pPr>
    </w:p>
    <w:p w14:paraId="0850DFF9" w14:textId="77777777" w:rsidR="001A3B97" w:rsidRPr="00C16504" w:rsidRDefault="001A3B97" w:rsidP="001A3B97">
      <w:pPr>
        <w:numPr>
          <w:ilvl w:val="0"/>
          <w:numId w:val="20"/>
        </w:numPr>
        <w:spacing w:after="0" w:line="240" w:lineRule="auto"/>
        <w:jc w:val="both"/>
        <w:rPr>
          <w:rFonts w:ascii="Lato" w:eastAsia="Times New Roman" w:hAnsi="Lato"/>
          <w:sz w:val="20"/>
          <w:szCs w:val="20"/>
        </w:rPr>
      </w:pPr>
      <w:r w:rsidRPr="00C16504">
        <w:rPr>
          <w:rFonts w:ascii="Lato" w:eastAsia="Times New Roman" w:hAnsi="Lato"/>
          <w:b/>
          <w:bCs/>
          <w:sz w:val="20"/>
          <w:szCs w:val="20"/>
        </w:rPr>
        <w:t>Political Economy &amp; Stakeholder Analysis.</w:t>
      </w:r>
    </w:p>
    <w:p w14:paraId="21AD0F07" w14:textId="77777777" w:rsidR="001A3B97" w:rsidRPr="00C16504" w:rsidRDefault="001A3B97" w:rsidP="001A3B97">
      <w:pPr>
        <w:spacing w:after="0" w:line="240" w:lineRule="auto"/>
        <w:ind w:left="720"/>
        <w:jc w:val="both"/>
        <w:rPr>
          <w:rFonts w:ascii="Lato" w:eastAsia="Times New Roman" w:hAnsi="Lato"/>
          <w:sz w:val="20"/>
          <w:szCs w:val="20"/>
        </w:rPr>
      </w:pPr>
    </w:p>
    <w:p w14:paraId="07264288" w14:textId="77777777" w:rsidR="001A3B97" w:rsidRPr="00C16504" w:rsidRDefault="001A3B97" w:rsidP="001A3B97">
      <w:pPr>
        <w:numPr>
          <w:ilvl w:val="1"/>
          <w:numId w:val="20"/>
        </w:numPr>
        <w:spacing w:after="0" w:line="240" w:lineRule="auto"/>
        <w:jc w:val="both"/>
        <w:rPr>
          <w:rFonts w:ascii="Lato" w:eastAsia="Times New Roman" w:hAnsi="Lato"/>
          <w:sz w:val="20"/>
          <w:szCs w:val="20"/>
        </w:rPr>
      </w:pPr>
      <w:r w:rsidRPr="00C16504">
        <w:rPr>
          <w:rFonts w:ascii="Lato" w:eastAsia="Times New Roman" w:hAnsi="Lato"/>
          <w:sz w:val="20"/>
          <w:szCs w:val="20"/>
        </w:rPr>
        <w:t>Mapping of priority legislative and accountability questions (e.g., status of the Child Rights Bill, enforcement of FGM/C bans, budget allocations).</w:t>
      </w:r>
    </w:p>
    <w:p w14:paraId="61D31DB7" w14:textId="77777777" w:rsidR="001A3B97" w:rsidRPr="00C16504" w:rsidRDefault="001A3B97" w:rsidP="001A3B97">
      <w:pPr>
        <w:numPr>
          <w:ilvl w:val="1"/>
          <w:numId w:val="20"/>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Visual power maps of government, parliament, religious, customary, civil society, and media actors.</w:t>
      </w:r>
    </w:p>
    <w:p w14:paraId="7B27EC2A" w14:textId="77777777" w:rsidR="001A3B97" w:rsidRPr="00C16504" w:rsidRDefault="001A3B97" w:rsidP="001A3B97">
      <w:pPr>
        <w:numPr>
          <w:ilvl w:val="1"/>
          <w:numId w:val="20"/>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Identification of veto players, champions, and coalition opportunities.</w:t>
      </w:r>
    </w:p>
    <w:p w14:paraId="459BFCAC" w14:textId="77777777" w:rsidR="001A3B97" w:rsidRPr="00C16504" w:rsidRDefault="001A3B97" w:rsidP="001A3B97">
      <w:pPr>
        <w:numPr>
          <w:ilvl w:val="1"/>
          <w:numId w:val="20"/>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 xml:space="preserve">Deep-dive case study on </w:t>
      </w:r>
      <w:r w:rsidRPr="00C16504">
        <w:rPr>
          <w:rFonts w:ascii="Lato" w:eastAsia="Times New Roman" w:hAnsi="Lato"/>
          <w:b/>
          <w:bCs/>
          <w:sz w:val="20"/>
          <w:szCs w:val="20"/>
        </w:rPr>
        <w:t>why the Child Rights Bill has stalled</w:t>
      </w:r>
      <w:r w:rsidRPr="00C16504">
        <w:rPr>
          <w:rFonts w:ascii="Lato" w:eastAsia="Times New Roman" w:hAnsi="Lato"/>
          <w:sz w:val="20"/>
          <w:szCs w:val="20"/>
        </w:rPr>
        <w:t xml:space="preserve">, why the </w:t>
      </w:r>
      <w:r w:rsidRPr="00C16504">
        <w:rPr>
          <w:rFonts w:ascii="Lato" w:eastAsia="Times New Roman" w:hAnsi="Lato"/>
          <w:b/>
          <w:bCs/>
          <w:sz w:val="20"/>
          <w:szCs w:val="20"/>
        </w:rPr>
        <w:t>Disability Bill advanced</w:t>
      </w:r>
      <w:r w:rsidRPr="00C16504">
        <w:rPr>
          <w:rFonts w:ascii="Lato" w:eastAsia="Times New Roman" w:hAnsi="Lato"/>
          <w:sz w:val="20"/>
          <w:szCs w:val="20"/>
        </w:rPr>
        <w:t>, and implications for political incentives.</w:t>
      </w:r>
    </w:p>
    <w:p w14:paraId="0C391E3E" w14:textId="77777777" w:rsidR="001A3B97" w:rsidRPr="00C16504" w:rsidRDefault="001A3B97" w:rsidP="001A3B97">
      <w:pPr>
        <w:numPr>
          <w:ilvl w:val="1"/>
          <w:numId w:val="20"/>
        </w:numPr>
        <w:spacing w:after="0" w:line="240" w:lineRule="auto"/>
        <w:jc w:val="both"/>
        <w:rPr>
          <w:rFonts w:ascii="Lato" w:eastAsia="Times New Roman" w:hAnsi="Lato"/>
          <w:sz w:val="20"/>
          <w:szCs w:val="20"/>
        </w:rPr>
      </w:pPr>
      <w:r w:rsidRPr="00C16504">
        <w:rPr>
          <w:rFonts w:ascii="Lato" w:eastAsia="Times New Roman" w:hAnsi="Lato"/>
          <w:sz w:val="20"/>
          <w:szCs w:val="20"/>
        </w:rPr>
        <w:t>Analysis of parliamentary oversight structures and accountability gaps for child-rights financing and implementation.</w:t>
      </w:r>
    </w:p>
    <w:p w14:paraId="0649D624" w14:textId="77777777" w:rsidR="001A3B97" w:rsidRPr="00C16504" w:rsidRDefault="001A3B97" w:rsidP="001A3B97">
      <w:pPr>
        <w:numPr>
          <w:ilvl w:val="1"/>
          <w:numId w:val="20"/>
        </w:numPr>
        <w:spacing w:after="0" w:line="240" w:lineRule="auto"/>
        <w:jc w:val="both"/>
        <w:rPr>
          <w:rFonts w:ascii="Lato" w:eastAsia="Times New Roman" w:hAnsi="Lato"/>
          <w:sz w:val="20"/>
          <w:szCs w:val="20"/>
        </w:rPr>
      </w:pPr>
      <w:r w:rsidRPr="00C16504">
        <w:rPr>
          <w:rFonts w:ascii="Lato" w:eastAsia="Times New Roman" w:hAnsi="Lato"/>
          <w:sz w:val="20"/>
          <w:szCs w:val="20"/>
        </w:rPr>
        <w:t xml:space="preserve">Analysis of oversight and financing gaps. </w:t>
      </w:r>
    </w:p>
    <w:p w14:paraId="59A8DD99" w14:textId="77777777" w:rsidR="001A3B97" w:rsidRPr="00C16504" w:rsidRDefault="001A3B97" w:rsidP="001A3B97">
      <w:pPr>
        <w:spacing w:after="0" w:line="240" w:lineRule="auto"/>
        <w:ind w:left="1440"/>
        <w:jc w:val="both"/>
        <w:rPr>
          <w:rFonts w:ascii="Lato" w:eastAsia="Times New Roman" w:hAnsi="Lato"/>
          <w:sz w:val="20"/>
          <w:szCs w:val="20"/>
        </w:rPr>
      </w:pPr>
    </w:p>
    <w:p w14:paraId="3E4A0B1A" w14:textId="77777777" w:rsidR="001A3B97" w:rsidRPr="00C16504" w:rsidRDefault="001A3B97" w:rsidP="001A3B97">
      <w:pPr>
        <w:numPr>
          <w:ilvl w:val="0"/>
          <w:numId w:val="20"/>
        </w:numPr>
        <w:spacing w:after="0" w:line="240" w:lineRule="auto"/>
        <w:jc w:val="both"/>
        <w:rPr>
          <w:rFonts w:ascii="Lato" w:eastAsia="Times New Roman" w:hAnsi="Lato"/>
          <w:sz w:val="20"/>
          <w:szCs w:val="20"/>
        </w:rPr>
      </w:pPr>
      <w:r w:rsidRPr="00C16504">
        <w:rPr>
          <w:rFonts w:ascii="Lato" w:eastAsia="Times New Roman" w:hAnsi="Lato"/>
          <w:b/>
          <w:bCs/>
          <w:sz w:val="20"/>
          <w:szCs w:val="20"/>
        </w:rPr>
        <w:t>Civil Society and Coalition Review.</w:t>
      </w:r>
    </w:p>
    <w:p w14:paraId="3998BA17" w14:textId="77777777" w:rsidR="001A3B97" w:rsidRPr="00C16504" w:rsidRDefault="001A3B97" w:rsidP="001A3B97">
      <w:pPr>
        <w:spacing w:after="0" w:line="240" w:lineRule="auto"/>
        <w:ind w:left="720"/>
        <w:jc w:val="both"/>
        <w:rPr>
          <w:rFonts w:ascii="Lato" w:eastAsia="Times New Roman" w:hAnsi="Lato"/>
          <w:sz w:val="20"/>
          <w:szCs w:val="20"/>
        </w:rPr>
      </w:pPr>
    </w:p>
    <w:p w14:paraId="3327CF6F" w14:textId="77777777" w:rsidR="001A3B97" w:rsidRPr="00C16504" w:rsidRDefault="001A3B97" w:rsidP="001A3B97">
      <w:pPr>
        <w:numPr>
          <w:ilvl w:val="1"/>
          <w:numId w:val="20"/>
        </w:numPr>
        <w:spacing w:after="0" w:line="240" w:lineRule="auto"/>
        <w:jc w:val="both"/>
        <w:rPr>
          <w:rFonts w:ascii="Lato" w:eastAsia="Times New Roman" w:hAnsi="Lato"/>
          <w:sz w:val="20"/>
          <w:szCs w:val="20"/>
        </w:rPr>
      </w:pPr>
      <w:r w:rsidRPr="00C16504">
        <w:rPr>
          <w:rFonts w:ascii="Lato" w:eastAsia="Times New Roman" w:hAnsi="Lato"/>
          <w:sz w:val="20"/>
          <w:szCs w:val="20"/>
        </w:rPr>
        <w:t>Profiles of Somali Child Rights Coalition, Puntland Child Rights Coalition, DPOs, women’s groups, youth platforms, and media actors.</w:t>
      </w:r>
    </w:p>
    <w:p w14:paraId="194DAF51" w14:textId="77777777" w:rsidR="001A3B97" w:rsidRPr="00C16504" w:rsidRDefault="001A3B97" w:rsidP="001A3B97">
      <w:pPr>
        <w:numPr>
          <w:ilvl w:val="1"/>
          <w:numId w:val="20"/>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Assessment of influence, legitimacy, reach, and alignment with child-rights advocacy.</w:t>
      </w:r>
    </w:p>
    <w:p w14:paraId="544B6FAC" w14:textId="77777777" w:rsidR="001A3B97" w:rsidRPr="00C16504" w:rsidRDefault="001A3B97" w:rsidP="001A3B97">
      <w:pPr>
        <w:numPr>
          <w:ilvl w:val="1"/>
          <w:numId w:val="20"/>
        </w:numPr>
        <w:spacing w:after="0" w:line="240" w:lineRule="auto"/>
        <w:jc w:val="both"/>
        <w:rPr>
          <w:rFonts w:ascii="Lato" w:eastAsia="Times New Roman" w:hAnsi="Lato"/>
          <w:sz w:val="20"/>
          <w:szCs w:val="20"/>
        </w:rPr>
      </w:pPr>
      <w:r w:rsidRPr="00C16504">
        <w:rPr>
          <w:rFonts w:ascii="Lato" w:eastAsia="Times New Roman" w:hAnsi="Lato"/>
          <w:sz w:val="20"/>
          <w:szCs w:val="20"/>
        </w:rPr>
        <w:t>Organizational capacity review (advocacy, governance, communications).</w:t>
      </w:r>
    </w:p>
    <w:p w14:paraId="6D07EAA1" w14:textId="77777777" w:rsidR="001A3B97" w:rsidRPr="00C16504" w:rsidRDefault="001A3B97" w:rsidP="001A3B97">
      <w:pPr>
        <w:numPr>
          <w:ilvl w:val="1"/>
          <w:numId w:val="20"/>
        </w:numPr>
        <w:spacing w:after="0" w:line="240" w:lineRule="auto"/>
        <w:jc w:val="both"/>
        <w:rPr>
          <w:rFonts w:ascii="Lato" w:eastAsia="Times New Roman" w:hAnsi="Lato"/>
          <w:sz w:val="20"/>
          <w:szCs w:val="20"/>
        </w:rPr>
      </w:pPr>
      <w:r w:rsidRPr="00C16504">
        <w:rPr>
          <w:rFonts w:ascii="Lato" w:eastAsia="Times New Roman" w:hAnsi="Lato"/>
          <w:sz w:val="20"/>
          <w:szCs w:val="20"/>
        </w:rPr>
        <w:t>Identification of priority areas for capacity development.</w:t>
      </w:r>
    </w:p>
    <w:p w14:paraId="63C117D3" w14:textId="77777777" w:rsidR="001A3B97" w:rsidRPr="00C16504" w:rsidRDefault="001A3B97" w:rsidP="001A3B97">
      <w:pPr>
        <w:spacing w:after="0" w:line="240" w:lineRule="auto"/>
        <w:ind w:left="1440"/>
        <w:jc w:val="both"/>
        <w:rPr>
          <w:rFonts w:ascii="Lato" w:eastAsia="Times New Roman" w:hAnsi="Lato"/>
          <w:sz w:val="20"/>
          <w:szCs w:val="20"/>
        </w:rPr>
      </w:pPr>
    </w:p>
    <w:p w14:paraId="01BBE4E1" w14:textId="77777777" w:rsidR="001A3B97" w:rsidRPr="00C16504" w:rsidRDefault="001A3B97" w:rsidP="001A3B97">
      <w:pPr>
        <w:numPr>
          <w:ilvl w:val="0"/>
          <w:numId w:val="20"/>
        </w:numPr>
        <w:spacing w:after="0" w:line="240" w:lineRule="auto"/>
        <w:jc w:val="both"/>
        <w:rPr>
          <w:rFonts w:ascii="Lato" w:eastAsia="Times New Roman" w:hAnsi="Lato"/>
          <w:sz w:val="20"/>
          <w:szCs w:val="20"/>
        </w:rPr>
      </w:pPr>
      <w:r w:rsidRPr="00C16504">
        <w:rPr>
          <w:rFonts w:ascii="Lato" w:eastAsia="Times New Roman" w:hAnsi="Lato"/>
          <w:b/>
          <w:bCs/>
          <w:sz w:val="20"/>
          <w:szCs w:val="20"/>
        </w:rPr>
        <w:t>Strategic Framework and Recommendations.</w:t>
      </w:r>
    </w:p>
    <w:p w14:paraId="20483C72" w14:textId="77777777" w:rsidR="001A3B97" w:rsidRPr="00C16504" w:rsidRDefault="001A3B97" w:rsidP="001A3B97">
      <w:pPr>
        <w:spacing w:after="0" w:line="240" w:lineRule="auto"/>
        <w:ind w:left="720"/>
        <w:jc w:val="both"/>
        <w:rPr>
          <w:rFonts w:ascii="Lato" w:eastAsia="Times New Roman" w:hAnsi="Lato"/>
          <w:sz w:val="20"/>
          <w:szCs w:val="20"/>
        </w:rPr>
      </w:pPr>
    </w:p>
    <w:p w14:paraId="0E439771" w14:textId="77777777" w:rsidR="001A3B97" w:rsidRPr="00C16504" w:rsidRDefault="001A3B97" w:rsidP="001A3B97">
      <w:pPr>
        <w:numPr>
          <w:ilvl w:val="1"/>
          <w:numId w:val="20"/>
        </w:numPr>
        <w:spacing w:after="0" w:line="240" w:lineRule="auto"/>
        <w:jc w:val="both"/>
        <w:rPr>
          <w:rFonts w:ascii="Lato" w:eastAsia="Times New Roman" w:hAnsi="Lato"/>
          <w:sz w:val="20"/>
          <w:szCs w:val="20"/>
        </w:rPr>
      </w:pPr>
      <w:r w:rsidRPr="00C16504">
        <w:rPr>
          <w:rFonts w:ascii="Lato" w:eastAsia="Times New Roman" w:hAnsi="Lato"/>
          <w:sz w:val="20"/>
          <w:szCs w:val="20"/>
        </w:rPr>
        <w:t>Politically smart strategies for engaging parliament, ministries, religious leaders, and media.</w:t>
      </w:r>
    </w:p>
    <w:p w14:paraId="5215931B" w14:textId="77777777" w:rsidR="001A3B97" w:rsidRPr="00C16504" w:rsidRDefault="001A3B97" w:rsidP="001A3B97">
      <w:pPr>
        <w:numPr>
          <w:ilvl w:val="1"/>
          <w:numId w:val="20"/>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 xml:space="preserve">Messaging framework, including </w:t>
      </w:r>
      <w:r w:rsidRPr="00C16504">
        <w:rPr>
          <w:rFonts w:ascii="Lato" w:eastAsia="Times New Roman" w:hAnsi="Lato"/>
          <w:b/>
          <w:bCs/>
          <w:sz w:val="20"/>
          <w:szCs w:val="20"/>
        </w:rPr>
        <w:t>Islamic framing of child rights</w:t>
      </w:r>
      <w:r w:rsidRPr="00C16504">
        <w:rPr>
          <w:rFonts w:ascii="Lato" w:eastAsia="Times New Roman" w:hAnsi="Lato"/>
          <w:sz w:val="20"/>
          <w:szCs w:val="20"/>
        </w:rPr>
        <w:t>.</w:t>
      </w:r>
    </w:p>
    <w:p w14:paraId="20B95079" w14:textId="77777777" w:rsidR="001A3B97" w:rsidRPr="00C16504" w:rsidRDefault="001A3B97" w:rsidP="001A3B97">
      <w:pPr>
        <w:numPr>
          <w:ilvl w:val="1"/>
          <w:numId w:val="20"/>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Roadmap for coalition-building and advocacy sequencing.</w:t>
      </w:r>
    </w:p>
    <w:p w14:paraId="0050E763" w14:textId="77777777" w:rsidR="001A3B97" w:rsidRPr="00C16504" w:rsidRDefault="001A3B97" w:rsidP="001A3B97">
      <w:pPr>
        <w:numPr>
          <w:ilvl w:val="1"/>
          <w:numId w:val="20"/>
        </w:numPr>
        <w:spacing w:after="0" w:line="240" w:lineRule="auto"/>
        <w:jc w:val="both"/>
        <w:rPr>
          <w:rFonts w:ascii="Lato" w:eastAsia="Times New Roman" w:hAnsi="Lato"/>
          <w:sz w:val="20"/>
          <w:szCs w:val="20"/>
        </w:rPr>
      </w:pPr>
      <w:r w:rsidRPr="00C16504">
        <w:rPr>
          <w:rFonts w:ascii="Lato" w:eastAsia="Times New Roman" w:hAnsi="Lato"/>
          <w:sz w:val="20"/>
          <w:szCs w:val="20"/>
        </w:rPr>
        <w:t>Suggested activities (e.g., training, mentoring, alliance-building, evidence use, safeguarding), prioritized by short-, medium-, and long-term timelines with indicative costs.</w:t>
      </w:r>
    </w:p>
    <w:p w14:paraId="3AC961A2" w14:textId="77777777" w:rsidR="001A3B97" w:rsidRPr="00C16504" w:rsidRDefault="001A3B97" w:rsidP="001A3B97">
      <w:pPr>
        <w:spacing w:after="0" w:line="240" w:lineRule="auto"/>
        <w:ind w:left="1440"/>
        <w:jc w:val="both"/>
        <w:rPr>
          <w:rFonts w:ascii="Lato" w:eastAsia="Times New Roman" w:hAnsi="Lato"/>
          <w:sz w:val="20"/>
          <w:szCs w:val="20"/>
        </w:rPr>
      </w:pPr>
    </w:p>
    <w:p w14:paraId="5AB3652F" w14:textId="77777777" w:rsidR="001A3B97" w:rsidRPr="00C16504" w:rsidRDefault="001A3B97" w:rsidP="001A3B97">
      <w:pPr>
        <w:numPr>
          <w:ilvl w:val="0"/>
          <w:numId w:val="20"/>
        </w:numPr>
        <w:spacing w:after="0" w:line="240" w:lineRule="auto"/>
        <w:jc w:val="both"/>
        <w:rPr>
          <w:rFonts w:ascii="Lato" w:eastAsia="Times New Roman" w:hAnsi="Lato"/>
          <w:sz w:val="20"/>
          <w:szCs w:val="20"/>
        </w:rPr>
      </w:pPr>
      <w:r w:rsidRPr="00C16504">
        <w:rPr>
          <w:rFonts w:ascii="Lato" w:eastAsia="Times New Roman" w:hAnsi="Lato"/>
          <w:b/>
          <w:bCs/>
          <w:sz w:val="20"/>
          <w:szCs w:val="20"/>
        </w:rPr>
        <w:t>Reporting and Validation</w:t>
      </w:r>
    </w:p>
    <w:p w14:paraId="2F3DA26D" w14:textId="77777777" w:rsidR="001A3B97" w:rsidRPr="00C16504" w:rsidRDefault="001A3B97" w:rsidP="001A3B97">
      <w:pPr>
        <w:spacing w:after="0" w:line="240" w:lineRule="auto"/>
        <w:ind w:left="720"/>
        <w:jc w:val="both"/>
        <w:rPr>
          <w:rFonts w:ascii="Lato" w:eastAsia="Times New Roman" w:hAnsi="Lato"/>
          <w:sz w:val="20"/>
          <w:szCs w:val="20"/>
        </w:rPr>
      </w:pPr>
    </w:p>
    <w:p w14:paraId="6A8D0E14" w14:textId="77777777" w:rsidR="001A3B97" w:rsidRPr="00C16504" w:rsidRDefault="001A3B97" w:rsidP="001A3B97">
      <w:pPr>
        <w:numPr>
          <w:ilvl w:val="1"/>
          <w:numId w:val="20"/>
        </w:numPr>
        <w:spacing w:after="0" w:line="240" w:lineRule="auto"/>
        <w:jc w:val="both"/>
        <w:rPr>
          <w:rFonts w:ascii="Lato" w:eastAsia="Times New Roman" w:hAnsi="Lato"/>
          <w:sz w:val="20"/>
          <w:szCs w:val="20"/>
        </w:rPr>
      </w:pPr>
      <w:r w:rsidRPr="00C16504">
        <w:rPr>
          <w:rFonts w:ascii="Lato" w:eastAsia="Times New Roman" w:hAnsi="Lato"/>
          <w:sz w:val="20"/>
          <w:szCs w:val="20"/>
        </w:rPr>
        <w:t>Draft report with consolidated analysis, structured around:</w:t>
      </w:r>
    </w:p>
    <w:p w14:paraId="40621757" w14:textId="77777777" w:rsidR="001A3B97" w:rsidRPr="00C16504" w:rsidRDefault="001A3B97" w:rsidP="001A3B97">
      <w:pPr>
        <w:numPr>
          <w:ilvl w:val="2"/>
          <w:numId w:val="20"/>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Political and institutional context</w:t>
      </w:r>
    </w:p>
    <w:p w14:paraId="0E264B09" w14:textId="77777777" w:rsidR="001A3B97" w:rsidRPr="00C16504" w:rsidRDefault="001A3B97" w:rsidP="001A3B97">
      <w:pPr>
        <w:numPr>
          <w:ilvl w:val="2"/>
          <w:numId w:val="20"/>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Legislation and law-making processes</w:t>
      </w:r>
    </w:p>
    <w:p w14:paraId="6E19575B" w14:textId="77777777" w:rsidR="001A3B97" w:rsidRPr="00C16504" w:rsidRDefault="001A3B97" w:rsidP="001A3B97">
      <w:pPr>
        <w:numPr>
          <w:ilvl w:val="2"/>
          <w:numId w:val="20"/>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Accountability structures and budgetary commitments</w:t>
      </w:r>
    </w:p>
    <w:p w14:paraId="5D393C03" w14:textId="77777777" w:rsidR="001A3B97" w:rsidRPr="00C16504" w:rsidRDefault="001A3B97" w:rsidP="001A3B97">
      <w:pPr>
        <w:numPr>
          <w:ilvl w:val="2"/>
          <w:numId w:val="20"/>
        </w:numPr>
        <w:spacing w:before="100" w:beforeAutospacing="1" w:after="100" w:afterAutospacing="1" w:line="240" w:lineRule="auto"/>
        <w:jc w:val="both"/>
        <w:rPr>
          <w:rFonts w:ascii="Lato" w:eastAsia="Times New Roman" w:hAnsi="Lato"/>
          <w:sz w:val="20"/>
          <w:szCs w:val="20"/>
        </w:rPr>
      </w:pPr>
      <w:r w:rsidRPr="00C16504">
        <w:rPr>
          <w:rFonts w:ascii="Lato" w:eastAsia="Times New Roman" w:hAnsi="Lato"/>
          <w:sz w:val="20"/>
          <w:szCs w:val="20"/>
        </w:rPr>
        <w:t>Stakeholder and power dynamics</w:t>
      </w:r>
    </w:p>
    <w:p w14:paraId="77C025F7" w14:textId="77777777" w:rsidR="001A3B97" w:rsidRPr="00BA7990" w:rsidRDefault="001A3B97" w:rsidP="001A3B97">
      <w:pPr>
        <w:numPr>
          <w:ilvl w:val="2"/>
          <w:numId w:val="20"/>
        </w:numPr>
        <w:spacing w:after="0" w:line="240" w:lineRule="auto"/>
        <w:jc w:val="both"/>
        <w:rPr>
          <w:rFonts w:ascii="Lato" w:eastAsia="Times New Roman" w:hAnsi="Lato"/>
          <w:sz w:val="20"/>
          <w:szCs w:val="20"/>
        </w:rPr>
      </w:pPr>
      <w:r w:rsidRPr="00C16504">
        <w:rPr>
          <w:rFonts w:ascii="Lato" w:eastAsia="Times New Roman" w:hAnsi="Lato"/>
          <w:sz w:val="20"/>
          <w:szCs w:val="20"/>
        </w:rPr>
        <w:t>Risks and opportunities for advancing child rights</w:t>
      </w:r>
      <w:r>
        <w:rPr>
          <w:rFonts w:ascii="Lato" w:eastAsia="Times New Roman" w:hAnsi="Lato"/>
          <w:sz w:val="20"/>
          <w:szCs w:val="20"/>
        </w:rPr>
        <w:t>.</w:t>
      </w:r>
    </w:p>
    <w:p w14:paraId="217D5DA2" w14:textId="77777777" w:rsidR="001A3B97" w:rsidRDefault="001A3B97" w:rsidP="001A3B97">
      <w:pPr>
        <w:pStyle w:val="pf0"/>
        <w:numPr>
          <w:ilvl w:val="0"/>
          <w:numId w:val="29"/>
        </w:numPr>
        <w:jc w:val="both"/>
        <w:rPr>
          <w:rStyle w:val="cf11"/>
          <w:rFonts w:ascii="Lato" w:eastAsiaTheme="majorEastAsia" w:hAnsi="Lato" w:cs="Arial"/>
          <w:sz w:val="20"/>
          <w:szCs w:val="20"/>
        </w:rPr>
      </w:pPr>
      <w:r>
        <w:rPr>
          <w:rStyle w:val="cf01"/>
          <w:rFonts w:ascii="Lato" w:eastAsiaTheme="majorEastAsia" w:hAnsi="Lato"/>
          <w:i/>
          <w:iCs/>
          <w:sz w:val="20"/>
          <w:szCs w:val="20"/>
        </w:rPr>
        <w:t>S</w:t>
      </w:r>
      <w:r w:rsidRPr="00BA7990">
        <w:rPr>
          <w:rStyle w:val="cf11"/>
          <w:rFonts w:ascii="Lato" w:eastAsiaTheme="majorEastAsia" w:hAnsi="Lato"/>
          <w:sz w:val="20"/>
          <w:szCs w:val="20"/>
        </w:rPr>
        <w:t xml:space="preserve">hort policy brief and presentation materials tailored for Parliament, </w:t>
      </w:r>
      <w:proofErr w:type="spellStart"/>
      <w:r w:rsidRPr="00BA7990">
        <w:rPr>
          <w:rStyle w:val="cf11"/>
          <w:rFonts w:ascii="Lato" w:eastAsiaTheme="majorEastAsia" w:hAnsi="Lato"/>
          <w:sz w:val="20"/>
          <w:szCs w:val="20"/>
        </w:rPr>
        <w:t>MoWHRD</w:t>
      </w:r>
      <w:proofErr w:type="spellEnd"/>
      <w:r w:rsidRPr="00BA7990">
        <w:rPr>
          <w:rStyle w:val="cf11"/>
          <w:rFonts w:ascii="Lato" w:eastAsiaTheme="majorEastAsia" w:hAnsi="Lato"/>
          <w:sz w:val="20"/>
          <w:szCs w:val="20"/>
        </w:rPr>
        <w:t>, and donors (e.g., NORAD, UNICEF). The final policy briefs must be organized according to the three strategic CRG pillars, ensuring direct utility for the CO strategy and advocacy plan: (1) Legal/Institutional Bottlenecks (Good Governance), (2) Financial/PIC Barriers (Public Investment), and (3) Civic Space/Accountability Gaps (Monitoring and Demanding Child Rights).</w:t>
      </w:r>
    </w:p>
    <w:p w14:paraId="617DCEB7" w14:textId="77777777" w:rsidR="001A3B97" w:rsidRDefault="001A3B97" w:rsidP="001A3B97">
      <w:pPr>
        <w:pStyle w:val="pf0"/>
        <w:numPr>
          <w:ilvl w:val="0"/>
          <w:numId w:val="29"/>
        </w:numPr>
        <w:jc w:val="both"/>
        <w:rPr>
          <w:rFonts w:ascii="Lato" w:hAnsi="Lato" w:cs="Arial"/>
          <w:i/>
          <w:iCs/>
          <w:sz w:val="20"/>
          <w:szCs w:val="20"/>
        </w:rPr>
      </w:pPr>
      <w:r w:rsidRPr="00BA7990">
        <w:rPr>
          <w:rFonts w:ascii="Lato" w:hAnsi="Lato"/>
          <w:sz w:val="20"/>
          <w:szCs w:val="20"/>
        </w:rPr>
        <w:t>Presentation of draft findings to CSOs, government, parliament, and donors.</w:t>
      </w:r>
    </w:p>
    <w:p w14:paraId="32702B88" w14:textId="77777777" w:rsidR="001A3B97" w:rsidRDefault="001A3B97" w:rsidP="001A3B97">
      <w:pPr>
        <w:pStyle w:val="pf0"/>
        <w:numPr>
          <w:ilvl w:val="0"/>
          <w:numId w:val="29"/>
        </w:numPr>
        <w:jc w:val="both"/>
        <w:rPr>
          <w:rFonts w:ascii="Lato" w:hAnsi="Lato" w:cs="Arial"/>
          <w:i/>
          <w:iCs/>
          <w:sz w:val="20"/>
          <w:szCs w:val="20"/>
        </w:rPr>
      </w:pPr>
      <w:r w:rsidRPr="00BA7990">
        <w:rPr>
          <w:rFonts w:ascii="Lato" w:hAnsi="Lato"/>
          <w:sz w:val="20"/>
          <w:szCs w:val="20"/>
        </w:rPr>
        <w:t>Documentation of stakeholder feedback and integration into final outputs.</w:t>
      </w:r>
    </w:p>
    <w:p w14:paraId="1442CD36" w14:textId="77777777" w:rsidR="001A3B97" w:rsidRPr="00BA7990" w:rsidRDefault="001A3B97" w:rsidP="001A3B97">
      <w:pPr>
        <w:pStyle w:val="pf0"/>
        <w:numPr>
          <w:ilvl w:val="0"/>
          <w:numId w:val="29"/>
        </w:numPr>
        <w:jc w:val="both"/>
        <w:rPr>
          <w:rFonts w:ascii="Lato" w:hAnsi="Lato" w:cs="Arial"/>
          <w:i/>
          <w:iCs/>
          <w:sz w:val="20"/>
          <w:szCs w:val="20"/>
        </w:rPr>
      </w:pPr>
      <w:r w:rsidRPr="00BA7990">
        <w:rPr>
          <w:rFonts w:ascii="Lato" w:hAnsi="Lato"/>
          <w:sz w:val="20"/>
          <w:szCs w:val="20"/>
        </w:rPr>
        <w:t>Final validated report, including annexes: anonymized interview lists, detailed stakeholder profiles, power maps, and data tables.</w:t>
      </w:r>
    </w:p>
    <w:p w14:paraId="61C74B0F" w14:textId="77777777" w:rsidR="001A3B97" w:rsidRPr="00C16504" w:rsidRDefault="001A3B97" w:rsidP="001A3B97">
      <w:pPr>
        <w:spacing w:after="0" w:line="240" w:lineRule="auto"/>
        <w:jc w:val="both"/>
        <w:rPr>
          <w:rFonts w:ascii="Lato" w:eastAsia="Times New Roman" w:hAnsi="Lato"/>
          <w:b/>
          <w:bCs/>
          <w:sz w:val="20"/>
          <w:szCs w:val="20"/>
        </w:rPr>
      </w:pPr>
      <w:r w:rsidRPr="00C16504">
        <w:rPr>
          <w:rFonts w:ascii="Lato" w:eastAsia="Times New Roman" w:hAnsi="Lato"/>
          <w:b/>
          <w:bCs/>
          <w:sz w:val="20"/>
          <w:szCs w:val="20"/>
        </w:rPr>
        <w:t>Duration &amp; Timeline</w:t>
      </w:r>
    </w:p>
    <w:p w14:paraId="3597725D" w14:textId="77777777" w:rsidR="001A3B97" w:rsidRPr="00C16504" w:rsidRDefault="001A3B97" w:rsidP="001A3B97">
      <w:pPr>
        <w:spacing w:after="0" w:line="240" w:lineRule="auto"/>
        <w:jc w:val="both"/>
        <w:rPr>
          <w:rFonts w:ascii="Lato" w:eastAsia="Times New Roman" w:hAnsi="Lato"/>
          <w:sz w:val="20"/>
          <w:szCs w:val="20"/>
        </w:rPr>
      </w:pPr>
      <w:r w:rsidRPr="00C16504">
        <w:rPr>
          <w:rFonts w:ascii="Lato" w:eastAsia="Times New Roman" w:hAnsi="Lato"/>
          <w:sz w:val="20"/>
          <w:szCs w:val="20"/>
        </w:rPr>
        <w:t xml:space="preserve">The consultancy will run over </w:t>
      </w:r>
      <w:r w:rsidRPr="00C16504">
        <w:rPr>
          <w:rFonts w:ascii="Lato" w:eastAsia="Times New Roman" w:hAnsi="Lato"/>
          <w:b/>
          <w:bCs/>
          <w:sz w:val="20"/>
          <w:szCs w:val="20"/>
        </w:rPr>
        <w:t>1–6 weeks</w:t>
      </w:r>
      <w:r w:rsidRPr="00C16504">
        <w:rPr>
          <w:rFonts w:ascii="Lato" w:eastAsia="Times New Roman" w:hAnsi="Lato"/>
          <w:sz w:val="20"/>
          <w:szCs w:val="20"/>
        </w:rPr>
        <w:t>:</w:t>
      </w:r>
    </w:p>
    <w:p w14:paraId="0E0B338D" w14:textId="77777777" w:rsidR="001A3B97" w:rsidRPr="00C16504" w:rsidRDefault="001A3B97" w:rsidP="001A3B97">
      <w:pPr>
        <w:numPr>
          <w:ilvl w:val="0"/>
          <w:numId w:val="24"/>
        </w:numPr>
        <w:spacing w:after="0" w:line="240" w:lineRule="auto"/>
        <w:jc w:val="both"/>
        <w:rPr>
          <w:rFonts w:ascii="Lato" w:eastAsia="Times New Roman" w:hAnsi="Lato"/>
          <w:sz w:val="20"/>
          <w:szCs w:val="20"/>
        </w:rPr>
      </w:pPr>
      <w:r w:rsidRPr="00C16504">
        <w:rPr>
          <w:rFonts w:ascii="Lato" w:eastAsia="Times New Roman" w:hAnsi="Lato"/>
          <w:b/>
          <w:bCs/>
          <w:sz w:val="20"/>
          <w:szCs w:val="20"/>
        </w:rPr>
        <w:t>Week 1–:</w:t>
      </w:r>
      <w:r w:rsidRPr="00C16504">
        <w:rPr>
          <w:rFonts w:ascii="Lato" w:eastAsia="Times New Roman" w:hAnsi="Lato"/>
          <w:sz w:val="20"/>
          <w:szCs w:val="20"/>
        </w:rPr>
        <w:t xml:space="preserve"> Inception report, desk review.</w:t>
      </w:r>
    </w:p>
    <w:p w14:paraId="5EC572ED" w14:textId="77777777" w:rsidR="001A3B97" w:rsidRPr="00C16504" w:rsidRDefault="001A3B97" w:rsidP="001A3B97">
      <w:pPr>
        <w:numPr>
          <w:ilvl w:val="0"/>
          <w:numId w:val="24"/>
        </w:numPr>
        <w:spacing w:after="0" w:line="240" w:lineRule="auto"/>
        <w:jc w:val="both"/>
        <w:rPr>
          <w:rFonts w:ascii="Lato" w:eastAsia="Times New Roman" w:hAnsi="Lato"/>
          <w:sz w:val="20"/>
          <w:szCs w:val="20"/>
        </w:rPr>
      </w:pPr>
      <w:r w:rsidRPr="00C16504">
        <w:rPr>
          <w:rFonts w:ascii="Lato" w:eastAsia="Times New Roman" w:hAnsi="Lato"/>
          <w:b/>
          <w:bCs/>
          <w:sz w:val="20"/>
          <w:szCs w:val="20"/>
        </w:rPr>
        <w:lastRenderedPageBreak/>
        <w:t>Week 2-3:</w:t>
      </w:r>
      <w:r w:rsidRPr="00C16504">
        <w:rPr>
          <w:rFonts w:ascii="Lato" w:eastAsia="Times New Roman" w:hAnsi="Lato"/>
          <w:sz w:val="20"/>
          <w:szCs w:val="20"/>
        </w:rPr>
        <w:t xml:space="preserve"> Fieldwork (KIIs, FGDs, survey, media scan).</w:t>
      </w:r>
    </w:p>
    <w:p w14:paraId="57D6CB9B" w14:textId="77777777" w:rsidR="001A3B97" w:rsidRPr="00C16504" w:rsidRDefault="001A3B97" w:rsidP="001A3B97">
      <w:pPr>
        <w:numPr>
          <w:ilvl w:val="0"/>
          <w:numId w:val="24"/>
        </w:numPr>
        <w:spacing w:after="0" w:line="240" w:lineRule="auto"/>
        <w:jc w:val="both"/>
        <w:rPr>
          <w:rFonts w:ascii="Lato" w:eastAsia="Times New Roman" w:hAnsi="Lato"/>
          <w:sz w:val="20"/>
          <w:szCs w:val="20"/>
        </w:rPr>
      </w:pPr>
      <w:r w:rsidRPr="00C16504">
        <w:rPr>
          <w:rFonts w:ascii="Lato" w:eastAsia="Times New Roman" w:hAnsi="Lato"/>
          <w:b/>
          <w:bCs/>
          <w:sz w:val="20"/>
          <w:szCs w:val="20"/>
        </w:rPr>
        <w:t>Week 4:</w:t>
      </w:r>
      <w:r w:rsidRPr="00C16504">
        <w:rPr>
          <w:rFonts w:ascii="Lato" w:eastAsia="Times New Roman" w:hAnsi="Lato"/>
          <w:sz w:val="20"/>
          <w:szCs w:val="20"/>
        </w:rPr>
        <w:t xml:space="preserve"> Draft analysis and mapping.</w:t>
      </w:r>
    </w:p>
    <w:p w14:paraId="664DED85" w14:textId="77777777" w:rsidR="001A3B97" w:rsidRPr="00C16504" w:rsidRDefault="001A3B97" w:rsidP="001A3B97">
      <w:pPr>
        <w:numPr>
          <w:ilvl w:val="0"/>
          <w:numId w:val="24"/>
        </w:numPr>
        <w:spacing w:after="0" w:line="240" w:lineRule="auto"/>
        <w:jc w:val="both"/>
        <w:rPr>
          <w:rFonts w:ascii="Lato" w:eastAsia="Times New Roman" w:hAnsi="Lato"/>
          <w:sz w:val="20"/>
          <w:szCs w:val="20"/>
        </w:rPr>
      </w:pPr>
      <w:r w:rsidRPr="00C16504">
        <w:rPr>
          <w:rFonts w:ascii="Lato" w:eastAsia="Times New Roman" w:hAnsi="Lato"/>
          <w:b/>
          <w:bCs/>
          <w:sz w:val="20"/>
          <w:szCs w:val="20"/>
        </w:rPr>
        <w:t>Week 5:</w:t>
      </w:r>
      <w:r w:rsidRPr="00C16504">
        <w:rPr>
          <w:rFonts w:ascii="Lato" w:eastAsia="Times New Roman" w:hAnsi="Lato"/>
          <w:sz w:val="20"/>
          <w:szCs w:val="20"/>
        </w:rPr>
        <w:t xml:space="preserve"> Validation workshops.</w:t>
      </w:r>
    </w:p>
    <w:p w14:paraId="569DFCF4" w14:textId="77777777" w:rsidR="001A3B97" w:rsidRPr="00C16504" w:rsidRDefault="001A3B97" w:rsidP="001A3B97">
      <w:pPr>
        <w:numPr>
          <w:ilvl w:val="0"/>
          <w:numId w:val="24"/>
        </w:numPr>
        <w:spacing w:after="0" w:line="240" w:lineRule="auto"/>
        <w:jc w:val="both"/>
        <w:rPr>
          <w:rFonts w:ascii="Lato" w:eastAsia="Times New Roman" w:hAnsi="Lato"/>
          <w:sz w:val="20"/>
          <w:szCs w:val="20"/>
        </w:rPr>
      </w:pPr>
      <w:r w:rsidRPr="00C16504">
        <w:rPr>
          <w:rFonts w:ascii="Lato" w:eastAsia="Times New Roman" w:hAnsi="Lato"/>
          <w:b/>
          <w:bCs/>
          <w:sz w:val="20"/>
          <w:szCs w:val="20"/>
        </w:rPr>
        <w:t>Week 5</w:t>
      </w:r>
      <w:r w:rsidRPr="00C16504">
        <w:rPr>
          <w:rFonts w:ascii="Lato" w:eastAsia="Times New Roman" w:hAnsi="Lato"/>
          <w:sz w:val="20"/>
          <w:szCs w:val="20"/>
        </w:rPr>
        <w:t xml:space="preserve"> Draft report + policy briefs.</w:t>
      </w:r>
    </w:p>
    <w:p w14:paraId="05FDFD3A" w14:textId="77777777" w:rsidR="001A3B97" w:rsidRPr="00C16504" w:rsidRDefault="001A3B97" w:rsidP="001A3B97">
      <w:pPr>
        <w:numPr>
          <w:ilvl w:val="0"/>
          <w:numId w:val="24"/>
        </w:numPr>
        <w:spacing w:after="0" w:line="240" w:lineRule="auto"/>
        <w:jc w:val="both"/>
        <w:rPr>
          <w:rFonts w:ascii="Lato" w:eastAsia="Times New Roman" w:hAnsi="Lato"/>
          <w:sz w:val="20"/>
          <w:szCs w:val="20"/>
        </w:rPr>
      </w:pPr>
      <w:r w:rsidRPr="00C16504">
        <w:rPr>
          <w:rFonts w:ascii="Lato" w:eastAsia="Times New Roman" w:hAnsi="Lato"/>
          <w:b/>
          <w:bCs/>
          <w:sz w:val="20"/>
          <w:szCs w:val="20"/>
        </w:rPr>
        <w:t>Week 6:</w:t>
      </w:r>
      <w:r w:rsidRPr="00C16504">
        <w:rPr>
          <w:rFonts w:ascii="Lato" w:eastAsia="Times New Roman" w:hAnsi="Lato"/>
          <w:sz w:val="20"/>
          <w:szCs w:val="20"/>
        </w:rPr>
        <w:t xml:space="preserve"> Final report submission and dissemination.</w:t>
      </w:r>
    </w:p>
    <w:p w14:paraId="7BE852B6" w14:textId="77777777" w:rsidR="001A3B97" w:rsidRPr="00C16504" w:rsidRDefault="001A3B97" w:rsidP="001A3B97">
      <w:pPr>
        <w:spacing w:after="0" w:line="240" w:lineRule="auto"/>
        <w:jc w:val="both"/>
        <w:rPr>
          <w:rFonts w:ascii="Lato" w:eastAsia="Times New Roman" w:hAnsi="Lato"/>
          <w:b/>
          <w:bCs/>
          <w:sz w:val="20"/>
          <w:szCs w:val="20"/>
        </w:rPr>
      </w:pPr>
      <w:r w:rsidRPr="00C16504">
        <w:rPr>
          <w:rFonts w:ascii="Lato" w:eastAsia="Times New Roman" w:hAnsi="Lato"/>
          <w:b/>
          <w:bCs/>
          <w:sz w:val="20"/>
          <w:szCs w:val="20"/>
        </w:rPr>
        <w:t>Risks &amp; Mitigation</w:t>
      </w:r>
    </w:p>
    <w:p w14:paraId="1ABA1C9C" w14:textId="77777777" w:rsidR="001A3B97" w:rsidRPr="00C16504" w:rsidRDefault="001A3B97" w:rsidP="001A3B97">
      <w:pPr>
        <w:numPr>
          <w:ilvl w:val="0"/>
          <w:numId w:val="21"/>
        </w:numPr>
        <w:spacing w:after="0" w:line="240" w:lineRule="auto"/>
        <w:jc w:val="both"/>
        <w:rPr>
          <w:rFonts w:ascii="Lato" w:eastAsia="Times New Roman" w:hAnsi="Lato"/>
          <w:sz w:val="20"/>
          <w:szCs w:val="20"/>
        </w:rPr>
      </w:pPr>
      <w:r w:rsidRPr="00C16504">
        <w:rPr>
          <w:rFonts w:ascii="Lato" w:eastAsia="Times New Roman" w:hAnsi="Lato"/>
          <w:sz w:val="20"/>
          <w:szCs w:val="20"/>
        </w:rPr>
        <w:t xml:space="preserve">Political Sensitivities: Clan/religious resistance </w:t>
      </w:r>
      <w:r w:rsidRPr="00C16504">
        <w:rPr>
          <w:rFonts w:ascii="Arial" w:eastAsia="Times New Roman" w:hAnsi="Arial" w:cs="Arial"/>
          <w:sz w:val="20"/>
          <w:szCs w:val="20"/>
        </w:rPr>
        <w:t>→</w:t>
      </w:r>
      <w:r w:rsidRPr="00C16504">
        <w:rPr>
          <w:rFonts w:ascii="Lato" w:eastAsia="Times New Roman" w:hAnsi="Lato"/>
          <w:sz w:val="20"/>
          <w:szCs w:val="20"/>
        </w:rPr>
        <w:t xml:space="preserve"> mitigate via inclusive stakeholder engagement.</w:t>
      </w:r>
    </w:p>
    <w:p w14:paraId="70E85653" w14:textId="77777777" w:rsidR="001A3B97" w:rsidRPr="00C16504" w:rsidRDefault="001A3B97" w:rsidP="001A3B97">
      <w:pPr>
        <w:numPr>
          <w:ilvl w:val="0"/>
          <w:numId w:val="21"/>
        </w:numPr>
        <w:spacing w:after="0" w:line="240" w:lineRule="auto"/>
        <w:jc w:val="both"/>
        <w:rPr>
          <w:rFonts w:ascii="Lato" w:eastAsia="Times New Roman" w:hAnsi="Lato"/>
          <w:sz w:val="20"/>
          <w:szCs w:val="20"/>
        </w:rPr>
      </w:pPr>
      <w:r w:rsidRPr="00C16504">
        <w:rPr>
          <w:rFonts w:ascii="Lato" w:eastAsia="Times New Roman" w:hAnsi="Lato"/>
          <w:sz w:val="20"/>
          <w:szCs w:val="20"/>
        </w:rPr>
        <w:t xml:space="preserve">Data Gaps: Weak official statistics </w:t>
      </w:r>
      <w:r w:rsidRPr="00C16504">
        <w:rPr>
          <w:rFonts w:ascii="Arial" w:eastAsia="Times New Roman" w:hAnsi="Arial" w:cs="Arial"/>
          <w:sz w:val="20"/>
          <w:szCs w:val="20"/>
        </w:rPr>
        <w:t>→</w:t>
      </w:r>
      <w:r w:rsidRPr="00C16504">
        <w:rPr>
          <w:rFonts w:ascii="Lato" w:eastAsia="Times New Roman" w:hAnsi="Lato"/>
          <w:sz w:val="20"/>
          <w:szCs w:val="20"/>
        </w:rPr>
        <w:t xml:space="preserve"> triangulate with CSO, UN, and media sources.</w:t>
      </w:r>
    </w:p>
    <w:p w14:paraId="1C449D33" w14:textId="77777777" w:rsidR="001A3B97" w:rsidRPr="00C16504" w:rsidRDefault="001A3B97" w:rsidP="001A3B97">
      <w:pPr>
        <w:spacing w:after="0" w:line="240" w:lineRule="auto"/>
        <w:jc w:val="both"/>
        <w:rPr>
          <w:rFonts w:ascii="Lato" w:eastAsia="Times New Roman" w:hAnsi="Lato"/>
          <w:b/>
          <w:bCs/>
          <w:sz w:val="20"/>
          <w:szCs w:val="20"/>
        </w:rPr>
      </w:pPr>
      <w:r w:rsidRPr="00C16504">
        <w:rPr>
          <w:rFonts w:ascii="Lato" w:eastAsia="Times New Roman" w:hAnsi="Lato"/>
          <w:b/>
          <w:bCs/>
          <w:sz w:val="20"/>
          <w:szCs w:val="20"/>
        </w:rPr>
        <w:t>Dissemination &amp; Uptake</w:t>
      </w:r>
    </w:p>
    <w:p w14:paraId="0F4F6880" w14:textId="77777777" w:rsidR="001A3B97" w:rsidRPr="00C16504" w:rsidRDefault="001A3B97" w:rsidP="001A3B97">
      <w:pPr>
        <w:numPr>
          <w:ilvl w:val="0"/>
          <w:numId w:val="22"/>
        </w:numPr>
        <w:spacing w:after="0" w:line="240" w:lineRule="auto"/>
        <w:jc w:val="both"/>
        <w:rPr>
          <w:rFonts w:ascii="Lato" w:eastAsia="Times New Roman" w:hAnsi="Lato"/>
          <w:sz w:val="20"/>
          <w:szCs w:val="20"/>
        </w:rPr>
      </w:pPr>
      <w:r w:rsidRPr="00C16504">
        <w:rPr>
          <w:rFonts w:ascii="Lato" w:eastAsia="Times New Roman" w:hAnsi="Lato"/>
          <w:sz w:val="20"/>
          <w:szCs w:val="20"/>
        </w:rPr>
        <w:t>Findings will be shared via validation workshops, briefing notes for parliamentarians, policy briefs for donors/UN, and media summaries.</w:t>
      </w:r>
    </w:p>
    <w:p w14:paraId="7468A81A" w14:textId="77777777" w:rsidR="001A3B97" w:rsidRPr="00C16504" w:rsidRDefault="001A3B97" w:rsidP="001A3B97">
      <w:pPr>
        <w:numPr>
          <w:ilvl w:val="0"/>
          <w:numId w:val="22"/>
        </w:numPr>
        <w:spacing w:after="0" w:line="240" w:lineRule="auto"/>
        <w:jc w:val="both"/>
        <w:rPr>
          <w:rFonts w:ascii="Lato" w:eastAsia="Times New Roman" w:hAnsi="Lato"/>
          <w:sz w:val="20"/>
          <w:szCs w:val="20"/>
        </w:rPr>
      </w:pPr>
      <w:r w:rsidRPr="00C16504">
        <w:rPr>
          <w:rFonts w:ascii="Lato" w:eastAsia="Times New Roman" w:hAnsi="Lato"/>
          <w:sz w:val="20"/>
          <w:szCs w:val="20"/>
        </w:rPr>
        <w:t>CSOs and coalitions will receive an advocacy toolkit and capacity-building roadmap for follow-up action.</w:t>
      </w:r>
    </w:p>
    <w:p w14:paraId="6E05D0B9" w14:textId="77777777" w:rsidR="001A3B97" w:rsidRPr="00C16504" w:rsidRDefault="001A3B97" w:rsidP="001A3B97">
      <w:pPr>
        <w:spacing w:after="0" w:line="240" w:lineRule="auto"/>
        <w:jc w:val="both"/>
        <w:rPr>
          <w:rFonts w:ascii="Lato" w:eastAsia="Times New Roman" w:hAnsi="Lato"/>
          <w:b/>
          <w:bCs/>
          <w:sz w:val="20"/>
          <w:szCs w:val="20"/>
        </w:rPr>
      </w:pPr>
      <w:r w:rsidRPr="00C16504">
        <w:rPr>
          <w:rFonts w:ascii="Lato" w:eastAsia="Times New Roman" w:hAnsi="Lato"/>
          <w:b/>
          <w:bCs/>
          <w:sz w:val="20"/>
          <w:szCs w:val="20"/>
        </w:rPr>
        <w:t>Management &amp; Reporting</w:t>
      </w:r>
    </w:p>
    <w:p w14:paraId="70253CF8" w14:textId="77777777" w:rsidR="001A3B97" w:rsidRPr="0006445F" w:rsidRDefault="001A3B97" w:rsidP="001A3B97">
      <w:pPr>
        <w:pStyle w:val="ListParagraph"/>
        <w:numPr>
          <w:ilvl w:val="0"/>
          <w:numId w:val="23"/>
        </w:numPr>
        <w:jc w:val="both"/>
        <w:rPr>
          <w:rFonts w:ascii="Lato" w:eastAsia="Times New Roman" w:hAnsi="Lato"/>
          <w:sz w:val="20"/>
          <w:szCs w:val="20"/>
        </w:rPr>
      </w:pPr>
      <w:r w:rsidRPr="00C16504">
        <w:rPr>
          <w:rFonts w:ascii="Lato" w:eastAsia="Times New Roman" w:hAnsi="Lato"/>
          <w:sz w:val="20"/>
          <w:szCs w:val="20"/>
        </w:rPr>
        <w:t xml:space="preserve">The consultant will report to Save the Children Somalia (Advocacy &amp; Policy team) in coordination with the Somali Child Rights Coalition. A reference group (SCI, coalition leads, will provide technical oversight. </w:t>
      </w:r>
    </w:p>
    <w:p w14:paraId="5FA0E85C" w14:textId="77777777" w:rsidR="001A3B97" w:rsidRPr="001323A1" w:rsidRDefault="001A3B97" w:rsidP="001A3B97">
      <w:pPr>
        <w:spacing w:after="0" w:line="240" w:lineRule="auto"/>
        <w:jc w:val="both"/>
        <w:rPr>
          <w:rFonts w:ascii="Lato" w:hAnsi="Lato"/>
          <w:b/>
          <w:bCs/>
          <w:sz w:val="20"/>
          <w:szCs w:val="20"/>
        </w:rPr>
      </w:pPr>
      <w:r w:rsidRPr="001323A1">
        <w:rPr>
          <w:rFonts w:ascii="Lato" w:hAnsi="Lato"/>
          <w:b/>
          <w:bCs/>
          <w:sz w:val="20"/>
          <w:szCs w:val="20"/>
        </w:rPr>
        <w:t xml:space="preserve">11. Duration  </w:t>
      </w:r>
    </w:p>
    <w:p w14:paraId="3AFEEB69" w14:textId="77777777" w:rsidR="001A3B97" w:rsidRPr="001323A1" w:rsidRDefault="001A3B97" w:rsidP="001A3B97">
      <w:pPr>
        <w:spacing w:after="0" w:line="240" w:lineRule="auto"/>
        <w:jc w:val="both"/>
        <w:rPr>
          <w:rFonts w:ascii="Lato" w:hAnsi="Lato"/>
          <w:sz w:val="20"/>
          <w:szCs w:val="20"/>
        </w:rPr>
      </w:pPr>
      <w:r w:rsidRPr="001323A1">
        <w:rPr>
          <w:rFonts w:ascii="Lato" w:hAnsi="Lato"/>
          <w:sz w:val="20"/>
          <w:szCs w:val="20"/>
        </w:rPr>
        <w:t>The consultancy is expected to run for approximately 30 days, subject to geographic access and validation timelines. A detailed workplan and schedule should accompany the inception report.</w:t>
      </w:r>
    </w:p>
    <w:p w14:paraId="6099FAC0" w14:textId="77777777" w:rsidR="001A3B97" w:rsidRPr="001323A1" w:rsidRDefault="001A3B97" w:rsidP="001A3B97">
      <w:pPr>
        <w:spacing w:after="0" w:line="240" w:lineRule="auto"/>
        <w:jc w:val="both"/>
        <w:rPr>
          <w:rFonts w:ascii="Lato" w:hAnsi="Lato"/>
          <w:sz w:val="20"/>
          <w:szCs w:val="20"/>
        </w:rPr>
      </w:pPr>
    </w:p>
    <w:p w14:paraId="0E358F44" w14:textId="77777777" w:rsidR="001A3B97" w:rsidRPr="001323A1" w:rsidRDefault="001A3B97" w:rsidP="001A3B97">
      <w:pPr>
        <w:spacing w:after="0" w:line="240" w:lineRule="auto"/>
        <w:jc w:val="both"/>
        <w:rPr>
          <w:rFonts w:ascii="Lato" w:hAnsi="Lato"/>
          <w:b/>
          <w:bCs/>
          <w:sz w:val="20"/>
          <w:szCs w:val="20"/>
        </w:rPr>
      </w:pPr>
      <w:r w:rsidRPr="001323A1">
        <w:rPr>
          <w:rFonts w:ascii="Lato" w:hAnsi="Lato"/>
          <w:b/>
          <w:bCs/>
          <w:sz w:val="20"/>
          <w:szCs w:val="20"/>
        </w:rPr>
        <w:t>12. Application process</w:t>
      </w:r>
    </w:p>
    <w:p w14:paraId="37C5CC51" w14:textId="77777777" w:rsidR="001A3B97" w:rsidRPr="001323A1" w:rsidRDefault="001A3B97" w:rsidP="001A3B97">
      <w:pPr>
        <w:spacing w:after="0" w:line="240" w:lineRule="auto"/>
        <w:jc w:val="both"/>
        <w:rPr>
          <w:rFonts w:ascii="Lato" w:hAnsi="Lato"/>
          <w:sz w:val="20"/>
          <w:szCs w:val="20"/>
        </w:rPr>
      </w:pPr>
      <w:r w:rsidRPr="001323A1">
        <w:rPr>
          <w:rFonts w:ascii="Lato" w:hAnsi="Lato"/>
          <w:sz w:val="20"/>
          <w:szCs w:val="20"/>
        </w:rPr>
        <w:t>The consultant should present a CV with relevant experience and background for the assignment and the following information:</w:t>
      </w:r>
    </w:p>
    <w:p w14:paraId="3A3C0423" w14:textId="77777777" w:rsidR="001A3B97" w:rsidRPr="001323A1" w:rsidRDefault="001A3B97" w:rsidP="001A3B97">
      <w:pPr>
        <w:pStyle w:val="ListParagraph"/>
        <w:numPr>
          <w:ilvl w:val="0"/>
          <w:numId w:val="16"/>
        </w:numPr>
        <w:jc w:val="both"/>
        <w:rPr>
          <w:rFonts w:ascii="Lato" w:hAnsi="Lato"/>
          <w:sz w:val="20"/>
          <w:szCs w:val="20"/>
        </w:rPr>
      </w:pPr>
      <w:r w:rsidRPr="001323A1">
        <w:rPr>
          <w:rFonts w:ascii="Lato" w:hAnsi="Lato"/>
          <w:sz w:val="20"/>
          <w:szCs w:val="20"/>
        </w:rPr>
        <w:t>Detailed workplan</w:t>
      </w:r>
    </w:p>
    <w:p w14:paraId="2B777BD9" w14:textId="77777777" w:rsidR="001A3B97" w:rsidRPr="001323A1" w:rsidRDefault="001A3B97" w:rsidP="001A3B97">
      <w:pPr>
        <w:pStyle w:val="ListParagraph"/>
        <w:numPr>
          <w:ilvl w:val="0"/>
          <w:numId w:val="16"/>
        </w:numPr>
        <w:jc w:val="both"/>
        <w:rPr>
          <w:rFonts w:ascii="Lato" w:hAnsi="Lato"/>
          <w:sz w:val="20"/>
          <w:szCs w:val="20"/>
        </w:rPr>
      </w:pPr>
      <w:r w:rsidRPr="001323A1">
        <w:rPr>
          <w:rFonts w:ascii="Lato" w:hAnsi="Lato"/>
          <w:sz w:val="20"/>
          <w:szCs w:val="20"/>
        </w:rPr>
        <w:t>Description of the approach and methodology applied</w:t>
      </w:r>
    </w:p>
    <w:p w14:paraId="21D6F21A" w14:textId="77777777" w:rsidR="001A3B97" w:rsidRPr="001323A1" w:rsidRDefault="001A3B97" w:rsidP="001A3B97">
      <w:pPr>
        <w:pStyle w:val="ListParagraph"/>
        <w:numPr>
          <w:ilvl w:val="0"/>
          <w:numId w:val="16"/>
        </w:numPr>
        <w:jc w:val="both"/>
        <w:rPr>
          <w:rFonts w:ascii="Lato" w:hAnsi="Lato"/>
          <w:sz w:val="20"/>
          <w:szCs w:val="20"/>
        </w:rPr>
      </w:pPr>
      <w:r w:rsidRPr="001323A1">
        <w:rPr>
          <w:rFonts w:ascii="Lato" w:hAnsi="Lato"/>
          <w:sz w:val="20"/>
          <w:szCs w:val="20"/>
        </w:rPr>
        <w:t>Detailed budget indicating consultant fee per day, all costs included</w:t>
      </w:r>
    </w:p>
    <w:p w14:paraId="4E1280BF" w14:textId="77777777" w:rsidR="001A3B97" w:rsidRPr="001323A1" w:rsidRDefault="001A3B97" w:rsidP="001A3B97">
      <w:pPr>
        <w:pStyle w:val="ListParagraph"/>
        <w:numPr>
          <w:ilvl w:val="0"/>
          <w:numId w:val="16"/>
        </w:numPr>
        <w:jc w:val="both"/>
        <w:rPr>
          <w:rFonts w:ascii="Lato" w:hAnsi="Lato"/>
          <w:sz w:val="20"/>
          <w:szCs w:val="20"/>
        </w:rPr>
      </w:pPr>
      <w:r w:rsidRPr="001323A1">
        <w:rPr>
          <w:rFonts w:ascii="Lato" w:hAnsi="Lato"/>
          <w:sz w:val="20"/>
          <w:szCs w:val="20"/>
        </w:rPr>
        <w:t xml:space="preserve">At least one example of studies/reports </w:t>
      </w:r>
      <w:proofErr w:type="gramStart"/>
      <w:r w:rsidRPr="001323A1">
        <w:rPr>
          <w:rFonts w:ascii="Lato" w:hAnsi="Lato"/>
          <w:sz w:val="20"/>
          <w:szCs w:val="20"/>
        </w:rPr>
        <w:t>similar to</w:t>
      </w:r>
      <w:proofErr w:type="gramEnd"/>
      <w:r w:rsidRPr="001323A1">
        <w:rPr>
          <w:rFonts w:ascii="Lato" w:hAnsi="Lato"/>
          <w:sz w:val="20"/>
          <w:szCs w:val="20"/>
        </w:rPr>
        <w:t xml:space="preserve"> this assignment, share signed stamped contracts as evidence.</w:t>
      </w:r>
    </w:p>
    <w:p w14:paraId="36E20D28" w14:textId="77777777" w:rsidR="001A3B97" w:rsidRDefault="001A3B97" w:rsidP="001A3B97">
      <w:pPr>
        <w:pStyle w:val="ListParagraph"/>
        <w:numPr>
          <w:ilvl w:val="0"/>
          <w:numId w:val="16"/>
        </w:numPr>
        <w:jc w:val="both"/>
        <w:rPr>
          <w:rFonts w:ascii="Lato" w:hAnsi="Lato"/>
          <w:sz w:val="20"/>
          <w:szCs w:val="20"/>
        </w:rPr>
      </w:pPr>
      <w:r w:rsidRPr="001323A1">
        <w:rPr>
          <w:rFonts w:ascii="Lato" w:hAnsi="Lato"/>
          <w:sz w:val="20"/>
          <w:szCs w:val="20"/>
        </w:rPr>
        <w:t>Two references, of which one should be related to the work</w:t>
      </w:r>
    </w:p>
    <w:p w14:paraId="191F9558" w14:textId="77777777" w:rsidR="001A3B97" w:rsidRPr="00F90DDF" w:rsidRDefault="001A3B97" w:rsidP="001A3B97">
      <w:pPr>
        <w:pStyle w:val="ListParagraph"/>
        <w:spacing w:line="278" w:lineRule="auto"/>
        <w:jc w:val="both"/>
        <w:rPr>
          <w:rFonts w:ascii="Lato" w:hAnsi="Lato"/>
          <w:sz w:val="20"/>
          <w:szCs w:val="20"/>
        </w:rPr>
      </w:pPr>
    </w:p>
    <w:p w14:paraId="6BB11454" w14:textId="77777777" w:rsidR="001A3B97" w:rsidRPr="00682826" w:rsidRDefault="001A3B97" w:rsidP="00682826">
      <w:pPr>
        <w:spacing w:after="0" w:line="240" w:lineRule="auto"/>
        <w:jc w:val="both"/>
        <w:rPr>
          <w:rFonts w:ascii="Lato" w:hAnsi="Lato"/>
          <w:b/>
          <w:bCs/>
          <w:sz w:val="20"/>
          <w:szCs w:val="20"/>
        </w:rPr>
      </w:pPr>
      <w:r w:rsidRPr="00682826">
        <w:rPr>
          <w:rFonts w:ascii="Lato" w:hAnsi="Lato"/>
          <w:b/>
          <w:bCs/>
          <w:sz w:val="20"/>
          <w:szCs w:val="20"/>
        </w:rPr>
        <w:t>DURATION OF THE ASSIGMENT</w:t>
      </w:r>
    </w:p>
    <w:p w14:paraId="0365BFAC" w14:textId="77777777" w:rsidR="001A3B97" w:rsidRPr="00F91A20" w:rsidRDefault="001A3B97" w:rsidP="001A3B97">
      <w:pPr>
        <w:autoSpaceDE w:val="0"/>
        <w:autoSpaceDN w:val="0"/>
        <w:adjustRightInd w:val="0"/>
        <w:spacing w:before="240" w:line="240" w:lineRule="auto"/>
        <w:jc w:val="both"/>
        <w:rPr>
          <w:rFonts w:ascii="Lato" w:hAnsi="Lato" w:cstheme="minorHAnsi"/>
          <w:sz w:val="20"/>
          <w:szCs w:val="20"/>
        </w:rPr>
      </w:pPr>
      <w:r w:rsidRPr="00F91A20">
        <w:rPr>
          <w:rFonts w:ascii="Lato" w:hAnsi="Lato" w:cstheme="minorHAnsi"/>
          <w:sz w:val="20"/>
          <w:szCs w:val="20"/>
        </w:rPr>
        <w:t xml:space="preserve">The duration of the assignment will run over a period of </w:t>
      </w:r>
      <w:r w:rsidRPr="00F91A20">
        <w:rPr>
          <w:rFonts w:ascii="Lato" w:hAnsi="Lato" w:cstheme="minorHAnsi"/>
          <w:b/>
          <w:bCs/>
          <w:sz w:val="20"/>
          <w:szCs w:val="20"/>
        </w:rPr>
        <w:t>45 calendar days</w:t>
      </w:r>
      <w:r w:rsidRPr="00F91A20">
        <w:rPr>
          <w:rFonts w:ascii="Lato" w:hAnsi="Lato" w:cstheme="minorHAnsi"/>
          <w:sz w:val="20"/>
          <w:szCs w:val="20"/>
        </w:rPr>
        <w:t xml:space="preserve"> including travel days. This is inclusive of weekends</w:t>
      </w:r>
    </w:p>
    <w:p w14:paraId="7176E559" w14:textId="77777777" w:rsidR="001A3B97" w:rsidRPr="008B3D51" w:rsidRDefault="001A3B97" w:rsidP="008B3D51">
      <w:pPr>
        <w:spacing w:after="0" w:line="240" w:lineRule="auto"/>
        <w:jc w:val="both"/>
        <w:rPr>
          <w:rFonts w:ascii="Lato" w:hAnsi="Lato"/>
          <w:b/>
          <w:bCs/>
          <w:sz w:val="20"/>
          <w:szCs w:val="20"/>
        </w:rPr>
      </w:pPr>
      <w:r w:rsidRPr="008B3D51">
        <w:rPr>
          <w:rFonts w:ascii="Lato" w:hAnsi="Lato"/>
          <w:b/>
          <w:bCs/>
          <w:sz w:val="20"/>
          <w:szCs w:val="20"/>
        </w:rPr>
        <w:t xml:space="preserve">Copyright and Intellectual Property Rights </w:t>
      </w:r>
    </w:p>
    <w:p w14:paraId="79498C8D" w14:textId="77777777" w:rsidR="001A3B97" w:rsidRPr="00F91A20" w:rsidRDefault="001A3B97" w:rsidP="00F91A20">
      <w:pPr>
        <w:autoSpaceDE w:val="0"/>
        <w:autoSpaceDN w:val="0"/>
        <w:adjustRightInd w:val="0"/>
        <w:spacing w:before="240" w:line="240" w:lineRule="auto"/>
        <w:jc w:val="both"/>
        <w:rPr>
          <w:rFonts w:ascii="Lato" w:hAnsi="Lato" w:cstheme="minorHAnsi"/>
          <w:sz w:val="20"/>
          <w:szCs w:val="20"/>
        </w:rPr>
      </w:pPr>
      <w:r w:rsidRPr="00F91A20">
        <w:rPr>
          <w:rFonts w:ascii="Lato" w:hAnsi="Lato" w:cstheme="minorHAnsi"/>
          <w:sz w:val="20"/>
          <w:szCs w:val="20"/>
        </w:rPr>
        <w:t>The title rights, copyrights and all other rights of whatever nature in any materials used or generated under the provisions of this consultancy will exclusively be vested with Save the Children Somalia/Somaliland Country Office. All products developed under this consultancy belong to the project exclusively, guided by the rules of the grant contract. Under no circumstances will the consultant use the information of this evaluation for publication or dissemination to any individual or organization without official prior written permission from Save the Children Somalia/Somaliland Country Office.</w:t>
      </w:r>
    </w:p>
    <w:p w14:paraId="15A1FBEE" w14:textId="77777777" w:rsidR="001A3B97" w:rsidRPr="008B3D51" w:rsidRDefault="001A3B97" w:rsidP="008B3D51">
      <w:pPr>
        <w:spacing w:after="0" w:line="240" w:lineRule="auto"/>
        <w:jc w:val="both"/>
        <w:rPr>
          <w:rFonts w:ascii="Lato" w:hAnsi="Lato"/>
          <w:b/>
          <w:bCs/>
          <w:sz w:val="20"/>
          <w:szCs w:val="20"/>
        </w:rPr>
      </w:pPr>
      <w:r w:rsidRPr="008B3D51">
        <w:rPr>
          <w:rFonts w:ascii="Lato" w:hAnsi="Lato"/>
          <w:b/>
          <w:bCs/>
          <w:sz w:val="20"/>
          <w:szCs w:val="20"/>
        </w:rPr>
        <w:t xml:space="preserve">Management and Coordination </w:t>
      </w:r>
    </w:p>
    <w:p w14:paraId="024A92EF" w14:textId="77777777" w:rsidR="001A3B97" w:rsidRPr="00F91A20" w:rsidRDefault="001A3B97" w:rsidP="00F91A20">
      <w:pPr>
        <w:autoSpaceDE w:val="0"/>
        <w:autoSpaceDN w:val="0"/>
        <w:adjustRightInd w:val="0"/>
        <w:spacing w:before="240" w:line="240" w:lineRule="auto"/>
        <w:jc w:val="both"/>
        <w:rPr>
          <w:rFonts w:ascii="Lato" w:hAnsi="Lato" w:cstheme="minorHAnsi"/>
          <w:sz w:val="20"/>
          <w:szCs w:val="20"/>
        </w:rPr>
      </w:pPr>
      <w:r w:rsidRPr="00F91A20">
        <w:rPr>
          <w:rFonts w:ascii="Lato" w:hAnsi="Lato" w:cstheme="minorHAnsi"/>
          <w:sz w:val="20"/>
          <w:szCs w:val="20"/>
        </w:rPr>
        <w:t>The consultant will work under the supervision of the Conflict Analysis task team led by Save the Children’s Child Rights Advocacy and Policy lead and Child Protection thematic technical Specialist and coordinate closely with project stakeholders. Regular progress updates will be required.</w:t>
      </w:r>
    </w:p>
    <w:p w14:paraId="01F39A84" w14:textId="77777777" w:rsidR="001A3B97" w:rsidRPr="008B3D51" w:rsidRDefault="001A3B97" w:rsidP="008B3D51">
      <w:pPr>
        <w:spacing w:after="0" w:line="240" w:lineRule="auto"/>
        <w:jc w:val="both"/>
        <w:rPr>
          <w:rFonts w:ascii="Lato" w:hAnsi="Lato"/>
          <w:b/>
          <w:bCs/>
          <w:sz w:val="20"/>
          <w:szCs w:val="20"/>
        </w:rPr>
      </w:pPr>
      <w:r w:rsidRPr="008B3D51">
        <w:rPr>
          <w:rFonts w:ascii="Lato" w:hAnsi="Lato"/>
          <w:b/>
          <w:bCs/>
          <w:sz w:val="20"/>
          <w:szCs w:val="20"/>
        </w:rPr>
        <w:t>Terms and Conditions</w:t>
      </w:r>
    </w:p>
    <w:p w14:paraId="797B7C90" w14:textId="77777777" w:rsidR="001A3B97" w:rsidRPr="00F91A20" w:rsidRDefault="001A3B97" w:rsidP="00F91A20">
      <w:pPr>
        <w:autoSpaceDE w:val="0"/>
        <w:autoSpaceDN w:val="0"/>
        <w:adjustRightInd w:val="0"/>
        <w:spacing w:before="240" w:line="240" w:lineRule="auto"/>
        <w:jc w:val="both"/>
        <w:rPr>
          <w:rFonts w:ascii="Lato" w:hAnsi="Lato" w:cstheme="minorHAnsi"/>
          <w:sz w:val="20"/>
          <w:szCs w:val="20"/>
        </w:rPr>
      </w:pPr>
      <w:r w:rsidRPr="00F91A20">
        <w:rPr>
          <w:rFonts w:ascii="Lato" w:hAnsi="Lato" w:cstheme="minorHAnsi"/>
          <w:sz w:val="20"/>
          <w:szCs w:val="20"/>
        </w:rPr>
        <w:t>Professional Fee: The consultant will come up with his/her own rate, which will be subject to negotiation within the bounds of donor requirements, market price and set standards of SC in Somalia/Somaliland. The consultant is expected to estimate all relevant costs for the exercise, including costs for data collectors, vehicle rent, venue, stationary, travel costs, accommodation and others, which he/she is expecting to incur while undertaking activities related to this assignment.</w:t>
      </w:r>
    </w:p>
    <w:p w14:paraId="1166A383" w14:textId="77777777" w:rsidR="001A3B97" w:rsidRDefault="001A3B97" w:rsidP="008B3D51">
      <w:pPr>
        <w:spacing w:after="0" w:line="240" w:lineRule="auto"/>
        <w:jc w:val="both"/>
        <w:rPr>
          <w:rFonts w:ascii="Lato" w:hAnsi="Lato"/>
          <w:b/>
          <w:bCs/>
          <w:sz w:val="20"/>
          <w:szCs w:val="20"/>
        </w:rPr>
      </w:pPr>
      <w:r w:rsidRPr="008B3D51">
        <w:rPr>
          <w:rFonts w:ascii="Lato" w:hAnsi="Lato"/>
          <w:b/>
          <w:bCs/>
          <w:sz w:val="20"/>
          <w:szCs w:val="20"/>
        </w:rPr>
        <w:lastRenderedPageBreak/>
        <w:t>Ethical Considerations</w:t>
      </w:r>
    </w:p>
    <w:p w14:paraId="4B2597D8" w14:textId="77777777" w:rsidR="008B3D51" w:rsidRPr="008B3D51" w:rsidRDefault="008B3D51" w:rsidP="008B3D51">
      <w:pPr>
        <w:spacing w:after="0" w:line="240" w:lineRule="auto"/>
        <w:jc w:val="both"/>
        <w:rPr>
          <w:rFonts w:ascii="Lato" w:hAnsi="Lato"/>
          <w:b/>
          <w:bCs/>
          <w:sz w:val="20"/>
          <w:szCs w:val="20"/>
        </w:rPr>
      </w:pPr>
    </w:p>
    <w:p w14:paraId="299B8686" w14:textId="77777777" w:rsidR="001A3B97" w:rsidRPr="00A974B4" w:rsidRDefault="001A3B97" w:rsidP="001A3B97">
      <w:pPr>
        <w:spacing w:after="0" w:line="240" w:lineRule="auto"/>
        <w:jc w:val="both"/>
        <w:rPr>
          <w:rFonts w:ascii="Lato" w:hAnsi="Lato"/>
          <w:b/>
          <w:bCs/>
        </w:rPr>
      </w:pPr>
      <w:r w:rsidRPr="00A974B4">
        <w:rPr>
          <w:rFonts w:ascii="Lato" w:hAnsi="Lato"/>
          <w:b/>
          <w:bCs/>
        </w:rPr>
        <w:t xml:space="preserve"> Informed Consent:</w:t>
      </w:r>
    </w:p>
    <w:p w14:paraId="4E84836B" w14:textId="77777777" w:rsidR="001A3B97" w:rsidRPr="00F91A20" w:rsidRDefault="001A3B97" w:rsidP="001A3B97">
      <w:pPr>
        <w:numPr>
          <w:ilvl w:val="0"/>
          <w:numId w:val="14"/>
        </w:numPr>
        <w:tabs>
          <w:tab w:val="clear" w:pos="720"/>
          <w:tab w:val="num" w:pos="360"/>
        </w:tabs>
        <w:spacing w:after="0" w:line="240" w:lineRule="auto"/>
        <w:ind w:left="360"/>
        <w:jc w:val="both"/>
        <w:rPr>
          <w:rFonts w:ascii="Lato" w:hAnsi="Lato"/>
          <w:sz w:val="20"/>
          <w:szCs w:val="20"/>
        </w:rPr>
      </w:pPr>
      <w:r w:rsidRPr="00F91A20">
        <w:rPr>
          <w:rFonts w:ascii="Lato" w:hAnsi="Lato"/>
          <w:sz w:val="20"/>
          <w:szCs w:val="20"/>
        </w:rPr>
        <w:t xml:space="preserve">All participants will be informed of the purpose, process, and expected outcomes of the </w:t>
      </w:r>
      <w:proofErr w:type="spellStart"/>
      <w:r w:rsidRPr="00F91A20">
        <w:rPr>
          <w:rFonts w:ascii="Lato" w:hAnsi="Lato"/>
          <w:sz w:val="20"/>
          <w:szCs w:val="20"/>
        </w:rPr>
        <w:t>labour</w:t>
      </w:r>
      <w:proofErr w:type="spellEnd"/>
      <w:r w:rsidRPr="00F91A20">
        <w:rPr>
          <w:rFonts w:ascii="Lato" w:hAnsi="Lato"/>
          <w:sz w:val="20"/>
          <w:szCs w:val="20"/>
        </w:rPr>
        <w:t xml:space="preserve"> market assessment. Their participation will be voluntary, and written or verbal consent will be obtained before collecting any data.</w:t>
      </w:r>
    </w:p>
    <w:p w14:paraId="4CB27750" w14:textId="77777777" w:rsidR="001A3B97" w:rsidRDefault="001A3B97" w:rsidP="001A3B97">
      <w:pPr>
        <w:numPr>
          <w:ilvl w:val="0"/>
          <w:numId w:val="14"/>
        </w:numPr>
        <w:tabs>
          <w:tab w:val="clear" w:pos="720"/>
          <w:tab w:val="num" w:pos="360"/>
        </w:tabs>
        <w:spacing w:after="0" w:line="240" w:lineRule="auto"/>
        <w:ind w:left="360"/>
        <w:jc w:val="both"/>
        <w:rPr>
          <w:rFonts w:ascii="Lato" w:hAnsi="Lato"/>
          <w:sz w:val="20"/>
          <w:szCs w:val="20"/>
        </w:rPr>
      </w:pPr>
      <w:r w:rsidRPr="00F91A20">
        <w:rPr>
          <w:rFonts w:ascii="Lato" w:hAnsi="Lato"/>
          <w:sz w:val="20"/>
          <w:szCs w:val="20"/>
        </w:rPr>
        <w:t>Participants will be informed about their right to withdraw at any time without any penalty.</w:t>
      </w:r>
    </w:p>
    <w:p w14:paraId="199B3D78" w14:textId="77777777" w:rsidR="008B3D51" w:rsidRPr="00F91A20" w:rsidRDefault="008B3D51" w:rsidP="008B3D51">
      <w:pPr>
        <w:tabs>
          <w:tab w:val="num" w:pos="360"/>
        </w:tabs>
        <w:spacing w:after="0" w:line="240" w:lineRule="auto"/>
        <w:ind w:left="360"/>
        <w:jc w:val="both"/>
        <w:rPr>
          <w:rFonts w:ascii="Lato" w:hAnsi="Lato"/>
          <w:sz w:val="20"/>
          <w:szCs w:val="20"/>
        </w:rPr>
      </w:pPr>
    </w:p>
    <w:p w14:paraId="759810ED" w14:textId="77777777" w:rsidR="001A3B97" w:rsidRPr="008B3D51" w:rsidRDefault="001A3B97" w:rsidP="001A3B97">
      <w:pPr>
        <w:spacing w:after="0" w:line="240" w:lineRule="auto"/>
        <w:jc w:val="both"/>
        <w:rPr>
          <w:rFonts w:ascii="Lato" w:hAnsi="Lato"/>
          <w:b/>
          <w:bCs/>
          <w:sz w:val="20"/>
          <w:szCs w:val="20"/>
        </w:rPr>
      </w:pPr>
      <w:r w:rsidRPr="008B3D51">
        <w:rPr>
          <w:rFonts w:ascii="Lato" w:hAnsi="Lato"/>
          <w:b/>
          <w:bCs/>
          <w:sz w:val="20"/>
          <w:szCs w:val="20"/>
        </w:rPr>
        <w:t>Confidentiality and Privacy:</w:t>
      </w:r>
    </w:p>
    <w:p w14:paraId="65CE3E45" w14:textId="77777777" w:rsidR="001A3B97" w:rsidRPr="00F91A20" w:rsidRDefault="001A3B97" w:rsidP="001A3B97">
      <w:pPr>
        <w:numPr>
          <w:ilvl w:val="0"/>
          <w:numId w:val="14"/>
        </w:numPr>
        <w:tabs>
          <w:tab w:val="clear" w:pos="720"/>
          <w:tab w:val="num" w:pos="360"/>
        </w:tabs>
        <w:spacing w:after="0" w:line="240" w:lineRule="auto"/>
        <w:ind w:left="360"/>
        <w:jc w:val="both"/>
        <w:rPr>
          <w:rFonts w:ascii="Lato" w:hAnsi="Lato"/>
          <w:sz w:val="20"/>
          <w:szCs w:val="20"/>
        </w:rPr>
      </w:pPr>
      <w:r w:rsidRPr="00F91A20">
        <w:rPr>
          <w:rFonts w:ascii="Lato" w:hAnsi="Lato"/>
          <w:sz w:val="20"/>
          <w:szCs w:val="20"/>
        </w:rPr>
        <w:t>Data collected will be kept confidential and securely stored. Participants' identities will not be disclosed without explicit consent.</w:t>
      </w:r>
    </w:p>
    <w:p w14:paraId="3437C5BE" w14:textId="77777777" w:rsidR="001A3B97" w:rsidRPr="00F91A20" w:rsidRDefault="001A3B97" w:rsidP="001A3B97">
      <w:pPr>
        <w:numPr>
          <w:ilvl w:val="0"/>
          <w:numId w:val="14"/>
        </w:numPr>
        <w:tabs>
          <w:tab w:val="clear" w:pos="720"/>
          <w:tab w:val="num" w:pos="360"/>
        </w:tabs>
        <w:spacing w:after="0" w:line="240" w:lineRule="auto"/>
        <w:ind w:left="360"/>
        <w:jc w:val="both"/>
        <w:rPr>
          <w:rFonts w:ascii="Lato" w:hAnsi="Lato"/>
          <w:sz w:val="20"/>
          <w:szCs w:val="20"/>
        </w:rPr>
      </w:pPr>
      <w:r w:rsidRPr="00F91A20">
        <w:rPr>
          <w:rFonts w:ascii="Lato" w:hAnsi="Lato"/>
          <w:sz w:val="20"/>
          <w:szCs w:val="20"/>
        </w:rPr>
        <w:t>Personal information will be protected, and any data shared will be anonymized where possible to prevent the identification of individuals.</w:t>
      </w:r>
    </w:p>
    <w:p w14:paraId="5AA9DA58" w14:textId="77777777" w:rsidR="001A3B97" w:rsidRDefault="001A3B97" w:rsidP="001A3B97">
      <w:pPr>
        <w:spacing w:after="0" w:line="240" w:lineRule="auto"/>
        <w:jc w:val="both"/>
        <w:rPr>
          <w:rFonts w:ascii="Lato" w:hAnsi="Lato"/>
          <w:b/>
          <w:bCs/>
        </w:rPr>
      </w:pPr>
    </w:p>
    <w:p w14:paraId="412A5762" w14:textId="77777777" w:rsidR="001A3B97" w:rsidRPr="008B3D51" w:rsidRDefault="001A3B97" w:rsidP="001A3B97">
      <w:pPr>
        <w:spacing w:after="0" w:line="240" w:lineRule="auto"/>
        <w:jc w:val="both"/>
        <w:rPr>
          <w:rFonts w:ascii="Lato" w:hAnsi="Lato"/>
          <w:b/>
          <w:bCs/>
          <w:sz w:val="20"/>
          <w:szCs w:val="20"/>
        </w:rPr>
      </w:pPr>
      <w:r w:rsidRPr="008B3D51">
        <w:rPr>
          <w:rFonts w:ascii="Lato" w:hAnsi="Lato"/>
          <w:b/>
          <w:bCs/>
          <w:sz w:val="20"/>
          <w:szCs w:val="20"/>
        </w:rPr>
        <w:t>Non-Discrimination and Inclusion:</w:t>
      </w:r>
    </w:p>
    <w:p w14:paraId="10671648" w14:textId="77777777" w:rsidR="001A3B97" w:rsidRPr="00F91A20" w:rsidRDefault="001A3B97" w:rsidP="001A3B97">
      <w:pPr>
        <w:numPr>
          <w:ilvl w:val="0"/>
          <w:numId w:val="14"/>
        </w:numPr>
        <w:tabs>
          <w:tab w:val="clear" w:pos="720"/>
          <w:tab w:val="num" w:pos="360"/>
        </w:tabs>
        <w:spacing w:after="0" w:line="240" w:lineRule="auto"/>
        <w:ind w:left="360"/>
        <w:jc w:val="both"/>
        <w:rPr>
          <w:rFonts w:ascii="Lato" w:hAnsi="Lato"/>
          <w:sz w:val="20"/>
          <w:szCs w:val="20"/>
        </w:rPr>
      </w:pPr>
      <w:r w:rsidRPr="00F91A20">
        <w:rPr>
          <w:rFonts w:ascii="Lato" w:hAnsi="Lato"/>
          <w:sz w:val="20"/>
          <w:szCs w:val="20"/>
        </w:rPr>
        <w:t>The assessment team will ensure that the assessment process is inclusive, considering all relevant populations regardless of gender, age, disability, ethnicity, and other social factors.</w:t>
      </w:r>
    </w:p>
    <w:p w14:paraId="5DCE8D2A" w14:textId="77777777" w:rsidR="001A3B97" w:rsidRPr="00F91A20" w:rsidRDefault="001A3B97" w:rsidP="001A3B97">
      <w:pPr>
        <w:numPr>
          <w:ilvl w:val="0"/>
          <w:numId w:val="14"/>
        </w:numPr>
        <w:tabs>
          <w:tab w:val="clear" w:pos="720"/>
          <w:tab w:val="num" w:pos="360"/>
        </w:tabs>
        <w:spacing w:after="0" w:line="240" w:lineRule="auto"/>
        <w:ind w:left="360"/>
        <w:jc w:val="both"/>
        <w:rPr>
          <w:rFonts w:ascii="Lato" w:hAnsi="Lato"/>
          <w:sz w:val="20"/>
          <w:szCs w:val="20"/>
        </w:rPr>
      </w:pPr>
      <w:proofErr w:type="gramStart"/>
      <w:r w:rsidRPr="00F91A20">
        <w:rPr>
          <w:rFonts w:ascii="Lato" w:hAnsi="Lato"/>
          <w:sz w:val="20"/>
          <w:szCs w:val="20"/>
        </w:rPr>
        <w:t>Particular attention</w:t>
      </w:r>
      <w:proofErr w:type="gramEnd"/>
      <w:r w:rsidRPr="00F91A20">
        <w:rPr>
          <w:rFonts w:ascii="Lato" w:hAnsi="Lato"/>
          <w:sz w:val="20"/>
          <w:szCs w:val="20"/>
        </w:rPr>
        <w:t xml:space="preserve"> will be paid to ensure vulnerable populations are included and their voices are heard without fear of discrimination or exploitation.</w:t>
      </w:r>
    </w:p>
    <w:p w14:paraId="580A6943" w14:textId="77777777" w:rsidR="001A3B97" w:rsidRPr="008B3D51" w:rsidRDefault="001A3B97" w:rsidP="001A3B97">
      <w:pPr>
        <w:spacing w:after="0" w:line="240" w:lineRule="auto"/>
        <w:jc w:val="both"/>
        <w:rPr>
          <w:rFonts w:ascii="Lato" w:hAnsi="Lato"/>
          <w:b/>
          <w:bCs/>
          <w:sz w:val="20"/>
          <w:szCs w:val="20"/>
        </w:rPr>
      </w:pPr>
      <w:r w:rsidRPr="008B3D51">
        <w:rPr>
          <w:rFonts w:ascii="Lato" w:hAnsi="Lato"/>
          <w:b/>
          <w:bCs/>
          <w:sz w:val="20"/>
          <w:szCs w:val="20"/>
        </w:rPr>
        <w:t>Cultural Sensitivity:</w:t>
      </w:r>
    </w:p>
    <w:p w14:paraId="2275037D" w14:textId="77777777" w:rsidR="001A3B97" w:rsidRPr="00F91A20" w:rsidRDefault="001A3B97" w:rsidP="001A3B97">
      <w:pPr>
        <w:numPr>
          <w:ilvl w:val="0"/>
          <w:numId w:val="14"/>
        </w:numPr>
        <w:tabs>
          <w:tab w:val="clear" w:pos="720"/>
          <w:tab w:val="num" w:pos="360"/>
        </w:tabs>
        <w:spacing w:after="0" w:line="240" w:lineRule="auto"/>
        <w:ind w:left="360"/>
        <w:jc w:val="both"/>
        <w:rPr>
          <w:rFonts w:ascii="Lato" w:hAnsi="Lato"/>
          <w:sz w:val="20"/>
          <w:szCs w:val="20"/>
        </w:rPr>
      </w:pPr>
      <w:r w:rsidRPr="00F91A20">
        <w:rPr>
          <w:rFonts w:ascii="Lato" w:hAnsi="Lato"/>
          <w:sz w:val="20"/>
          <w:szCs w:val="20"/>
        </w:rPr>
        <w:t>The assessment team will ensure that the assessment tools, language, and approaches are culturally appropriate and respect local traditions, norms, and customs. We recommend that female enumerators are considered for women interviews.</w:t>
      </w:r>
    </w:p>
    <w:p w14:paraId="7E138535" w14:textId="77777777" w:rsidR="001A3B97" w:rsidRPr="00F91A20" w:rsidRDefault="001A3B97" w:rsidP="001A3B97">
      <w:pPr>
        <w:numPr>
          <w:ilvl w:val="0"/>
          <w:numId w:val="14"/>
        </w:numPr>
        <w:tabs>
          <w:tab w:val="clear" w:pos="720"/>
          <w:tab w:val="num" w:pos="360"/>
        </w:tabs>
        <w:spacing w:after="0" w:line="240" w:lineRule="auto"/>
        <w:ind w:left="360"/>
        <w:jc w:val="both"/>
        <w:rPr>
          <w:rFonts w:ascii="Lato" w:hAnsi="Lato"/>
          <w:sz w:val="20"/>
          <w:szCs w:val="20"/>
        </w:rPr>
      </w:pPr>
      <w:r w:rsidRPr="00F91A20">
        <w:rPr>
          <w:rFonts w:ascii="Lato" w:hAnsi="Lato"/>
          <w:sz w:val="20"/>
          <w:szCs w:val="20"/>
        </w:rPr>
        <w:t>They will adjust the assessment methods as needed to be more inclusive and effective for diverse cultural groups.</w:t>
      </w:r>
    </w:p>
    <w:p w14:paraId="74BF1E8F" w14:textId="77777777" w:rsidR="008B3D51" w:rsidRDefault="008B3D51" w:rsidP="008B3D51">
      <w:pPr>
        <w:spacing w:after="0" w:line="240" w:lineRule="auto"/>
        <w:jc w:val="both"/>
        <w:rPr>
          <w:rFonts w:ascii="Lato" w:hAnsi="Lato"/>
          <w:b/>
          <w:bCs/>
          <w:sz w:val="20"/>
          <w:szCs w:val="20"/>
        </w:rPr>
      </w:pPr>
    </w:p>
    <w:p w14:paraId="4DEA484D" w14:textId="7CE83ED3" w:rsidR="001A3B97" w:rsidRPr="008B3D51" w:rsidRDefault="001A3B97" w:rsidP="008B3D51">
      <w:pPr>
        <w:spacing w:after="0" w:line="240" w:lineRule="auto"/>
        <w:jc w:val="both"/>
        <w:rPr>
          <w:rFonts w:ascii="Lato" w:hAnsi="Lato"/>
          <w:b/>
          <w:bCs/>
          <w:sz w:val="20"/>
          <w:szCs w:val="20"/>
        </w:rPr>
      </w:pPr>
      <w:r w:rsidRPr="008B3D51">
        <w:rPr>
          <w:rFonts w:ascii="Lato" w:hAnsi="Lato"/>
          <w:b/>
          <w:bCs/>
          <w:sz w:val="20"/>
          <w:szCs w:val="20"/>
        </w:rPr>
        <w:t>Mandatory Security Training</w:t>
      </w:r>
    </w:p>
    <w:p w14:paraId="2FE48A2A" w14:textId="77777777" w:rsidR="001A3B97" w:rsidRPr="00F91A20" w:rsidRDefault="001A3B97" w:rsidP="00F91A20">
      <w:pPr>
        <w:tabs>
          <w:tab w:val="num" w:pos="709"/>
        </w:tabs>
        <w:spacing w:before="240" w:line="240" w:lineRule="auto"/>
        <w:jc w:val="both"/>
        <w:rPr>
          <w:rFonts w:ascii="Lato" w:hAnsi="Lato" w:cstheme="minorHAnsi"/>
          <w:sz w:val="20"/>
          <w:szCs w:val="20"/>
          <w:lang w:eastAsia="da-DK"/>
        </w:rPr>
      </w:pPr>
      <w:r w:rsidRPr="00F91A20">
        <w:rPr>
          <w:rFonts w:ascii="Lato" w:hAnsi="Lato" w:cstheme="minorHAnsi"/>
          <w:sz w:val="20"/>
          <w:szCs w:val="20"/>
          <w:lang w:eastAsia="da-DK"/>
        </w:rPr>
        <w:t>The consultant shall be expected to go through mandatory On-line Security and Hostage and Kidnap trainings and submit the certificate of completion to SC before the commencement of the task. Failure to deliver this will lead to an automatic disqualification. SC will advise on the security plan on appointment.</w:t>
      </w:r>
    </w:p>
    <w:p w14:paraId="6D953F14" w14:textId="77777777" w:rsidR="001A3B97" w:rsidRPr="008B3D51" w:rsidRDefault="001A3B97" w:rsidP="008B3D51">
      <w:pPr>
        <w:spacing w:after="0" w:line="240" w:lineRule="auto"/>
        <w:jc w:val="both"/>
        <w:rPr>
          <w:rFonts w:ascii="Lato" w:hAnsi="Lato"/>
          <w:b/>
          <w:bCs/>
          <w:sz w:val="20"/>
          <w:szCs w:val="20"/>
        </w:rPr>
      </w:pPr>
      <w:r w:rsidRPr="008B3D51">
        <w:rPr>
          <w:rFonts w:ascii="Lato" w:hAnsi="Lato"/>
          <w:b/>
          <w:bCs/>
          <w:sz w:val="20"/>
          <w:szCs w:val="20"/>
        </w:rPr>
        <w:t>CODE OF CONDUCT</w:t>
      </w:r>
    </w:p>
    <w:p w14:paraId="11A1C998" w14:textId="77777777" w:rsidR="001A3B97" w:rsidRPr="00F91A20" w:rsidRDefault="001A3B97" w:rsidP="001A3B97">
      <w:pPr>
        <w:tabs>
          <w:tab w:val="num" w:pos="709"/>
        </w:tabs>
        <w:spacing w:before="240" w:line="240" w:lineRule="auto"/>
        <w:jc w:val="both"/>
        <w:rPr>
          <w:rFonts w:ascii="Lato" w:hAnsi="Lato" w:cstheme="minorHAnsi"/>
          <w:sz w:val="20"/>
          <w:szCs w:val="20"/>
          <w:lang w:eastAsia="da-DK"/>
        </w:rPr>
      </w:pPr>
      <w:r w:rsidRPr="00F91A20">
        <w:rPr>
          <w:rFonts w:ascii="Lato" w:hAnsi="Lato" w:cstheme="minorHAnsi"/>
          <w:sz w:val="20"/>
          <w:szCs w:val="20"/>
          <w:lang w:eastAsia="da-DK"/>
        </w:rPr>
        <w:t>Save the Children's work is based on deeply held values and principles of child safeguarding, and it is essential that our commitment to children's rights and humanitarian principles is supported and demonstrated by all members of staff and other people working for and with Save the Children. Save the Children's Code of Conduct sets out the standards which all staff members must adhere to, and the consultant is bound to sign and abide by the Save the Children’s Code of Conduct.</w:t>
      </w:r>
    </w:p>
    <w:p w14:paraId="06BF9248" w14:textId="77777777" w:rsidR="001A3B97" w:rsidRPr="00F91A20" w:rsidRDefault="001A3B97" w:rsidP="001A3B97">
      <w:pPr>
        <w:tabs>
          <w:tab w:val="num" w:pos="709"/>
        </w:tabs>
        <w:spacing w:before="240" w:line="240" w:lineRule="auto"/>
        <w:jc w:val="both"/>
        <w:rPr>
          <w:rFonts w:ascii="Lato" w:hAnsi="Lato" w:cstheme="minorHAnsi"/>
          <w:sz w:val="20"/>
          <w:szCs w:val="20"/>
          <w:lang w:eastAsia="da-DK"/>
        </w:rPr>
      </w:pPr>
      <w:r w:rsidRPr="00F91A20">
        <w:rPr>
          <w:rFonts w:ascii="Lato" w:hAnsi="Lato" w:cstheme="minorHAnsi"/>
          <w:sz w:val="20"/>
          <w:szCs w:val="20"/>
          <w:lang w:eastAsia="da-DK"/>
        </w:rPr>
        <w:t>A contract will be signed by the consultant before commencement of the action. The contract will detail terms and conditions of service, and aspects of inputs and deliverables. The Consultant will be expected to treat as private and confidential any information disclosed to her/him or with which she/he may come into contact during her/his service.  The Consultant will not therefore disclose the same or any particulars thereof to any third party or publish it in any paper without the prior written consent of Save the Children. Any sensitive information (particularly concerning individual children) should be treated as confidential.</w:t>
      </w:r>
    </w:p>
    <w:p w14:paraId="7E5B8142" w14:textId="77777777" w:rsidR="001A3B97" w:rsidRPr="0075511B" w:rsidRDefault="001A3B97" w:rsidP="001A3B97">
      <w:pPr>
        <w:tabs>
          <w:tab w:val="num" w:pos="709"/>
        </w:tabs>
        <w:spacing w:before="240" w:line="240" w:lineRule="auto"/>
        <w:jc w:val="both"/>
        <w:rPr>
          <w:rFonts w:ascii="Lato" w:hAnsi="Lato" w:cstheme="minorHAnsi"/>
          <w:sz w:val="20"/>
          <w:szCs w:val="20"/>
          <w:lang w:eastAsia="da-DK"/>
        </w:rPr>
      </w:pPr>
      <w:r w:rsidRPr="0075511B">
        <w:rPr>
          <w:rFonts w:ascii="Lato" w:hAnsi="Lato" w:cstheme="minorHAnsi"/>
          <w:sz w:val="20"/>
          <w:szCs w:val="20"/>
          <w:lang w:eastAsia="da-DK"/>
        </w:rPr>
        <w:t>An agreement with a consultant will be rendered void if Save the Children discovers any corrupt activities have taken place either during the sourcing, preparation and implementation of the consultancy agreement.</w:t>
      </w:r>
    </w:p>
    <w:p w14:paraId="69BEA587" w14:textId="77777777" w:rsidR="0072329C" w:rsidRDefault="0072329C" w:rsidP="00C67662">
      <w:pPr>
        <w:autoSpaceDE w:val="0"/>
        <w:autoSpaceDN w:val="0"/>
        <w:adjustRightInd w:val="0"/>
        <w:spacing w:after="0"/>
        <w:jc w:val="both"/>
        <w:rPr>
          <w:rFonts w:ascii="Times New Roman" w:hAnsi="Times New Roman"/>
          <w:b/>
          <w:bCs/>
        </w:rPr>
      </w:pPr>
    </w:p>
    <w:p w14:paraId="510054E0" w14:textId="77777777" w:rsidR="0086032F" w:rsidRDefault="0086032F" w:rsidP="00C67662">
      <w:pPr>
        <w:autoSpaceDE w:val="0"/>
        <w:autoSpaceDN w:val="0"/>
        <w:adjustRightInd w:val="0"/>
        <w:spacing w:after="0"/>
        <w:jc w:val="both"/>
        <w:rPr>
          <w:rFonts w:ascii="Times New Roman" w:hAnsi="Times New Roman"/>
          <w:b/>
          <w:bCs/>
        </w:rPr>
      </w:pPr>
    </w:p>
    <w:p w14:paraId="640B2C47" w14:textId="77777777" w:rsidR="0086032F" w:rsidRDefault="0086032F" w:rsidP="00C67662">
      <w:pPr>
        <w:autoSpaceDE w:val="0"/>
        <w:autoSpaceDN w:val="0"/>
        <w:adjustRightInd w:val="0"/>
        <w:spacing w:after="0"/>
        <w:jc w:val="both"/>
        <w:rPr>
          <w:rFonts w:ascii="Times New Roman" w:hAnsi="Times New Roman"/>
          <w:b/>
          <w:bCs/>
        </w:rPr>
      </w:pPr>
    </w:p>
    <w:p w14:paraId="4C6148AC" w14:textId="77777777" w:rsidR="00FB6858" w:rsidRDefault="00FB6858" w:rsidP="00C67662">
      <w:pPr>
        <w:autoSpaceDE w:val="0"/>
        <w:autoSpaceDN w:val="0"/>
        <w:adjustRightInd w:val="0"/>
        <w:spacing w:after="0"/>
        <w:jc w:val="both"/>
        <w:rPr>
          <w:rFonts w:ascii="Times New Roman" w:hAnsi="Times New Roman"/>
          <w:b/>
          <w:bCs/>
        </w:rPr>
      </w:pPr>
    </w:p>
    <w:sectPr w:rsidR="00FB6858" w:rsidSect="00C33407">
      <w:headerReference w:type="default" r:id="rId17"/>
      <w:footerReference w:type="default" r:id="rId18"/>
      <w:pgSz w:w="12240" w:h="15840"/>
      <w:pgMar w:top="0" w:right="1080" w:bottom="432"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3E8C" w14:textId="77777777" w:rsidR="000A7408" w:rsidRDefault="000A7408" w:rsidP="00B92FE6">
      <w:pPr>
        <w:spacing w:after="0" w:line="240" w:lineRule="auto"/>
      </w:pPr>
      <w:r>
        <w:separator/>
      </w:r>
    </w:p>
  </w:endnote>
  <w:endnote w:type="continuationSeparator" w:id="0">
    <w:p w14:paraId="2E6971E6" w14:textId="77777777" w:rsidR="000A7408" w:rsidRDefault="000A7408" w:rsidP="00B92FE6">
      <w:pPr>
        <w:spacing w:after="0" w:line="240" w:lineRule="auto"/>
      </w:pPr>
      <w:r>
        <w:continuationSeparator/>
      </w:r>
    </w:p>
  </w:endnote>
  <w:endnote w:type="continuationNotice" w:id="1">
    <w:p w14:paraId="178F3121" w14:textId="77777777" w:rsidR="000A7408" w:rsidRDefault="000A7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Lato Heavy">
    <w:altName w:val="Segoe UI"/>
    <w:charset w:val="00"/>
    <w:family w:val="swiss"/>
    <w:pitch w:val="variable"/>
    <w:sig w:usb0="E10002FF" w:usb1="5000ECFF" w:usb2="00000009" w:usb3="00000000" w:csb0="0000019F" w:csb1="00000000"/>
  </w:font>
  <w:font w:name="Lato Black">
    <w:panose1 w:val="020F0A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D7EE" w14:textId="77777777" w:rsidR="005C5EFC" w:rsidRPr="00E54B6A" w:rsidRDefault="005C5EFC">
    <w:pPr>
      <w:pStyle w:val="Footer"/>
      <w:jc w:val="center"/>
      <w:rPr>
        <w:rFonts w:ascii="Gill Sans MT" w:hAnsi="Gill Sans MT"/>
        <w:sz w:val="18"/>
        <w:szCs w:val="18"/>
      </w:rPr>
    </w:pPr>
    <w:r w:rsidRPr="00E54B6A">
      <w:rPr>
        <w:rFonts w:ascii="Gill Sans MT" w:hAnsi="Gill Sans MT"/>
        <w:sz w:val="18"/>
        <w:szCs w:val="18"/>
      </w:rPr>
      <w:t xml:space="preserve">Page </w:t>
    </w:r>
    <w:r w:rsidRPr="00E54B6A">
      <w:rPr>
        <w:rFonts w:ascii="Gill Sans MT" w:hAnsi="Gill Sans MT"/>
        <w:b/>
        <w:bCs/>
        <w:sz w:val="18"/>
        <w:szCs w:val="18"/>
      </w:rPr>
      <w:fldChar w:fldCharType="begin"/>
    </w:r>
    <w:r w:rsidRPr="00E54B6A">
      <w:rPr>
        <w:rFonts w:ascii="Gill Sans MT" w:hAnsi="Gill Sans MT"/>
        <w:b/>
        <w:bCs/>
        <w:sz w:val="18"/>
        <w:szCs w:val="18"/>
      </w:rPr>
      <w:instrText xml:space="preserve"> PAGE </w:instrText>
    </w:r>
    <w:r w:rsidRPr="00E54B6A">
      <w:rPr>
        <w:rFonts w:ascii="Gill Sans MT" w:hAnsi="Gill Sans MT"/>
        <w:b/>
        <w:bCs/>
        <w:sz w:val="18"/>
        <w:szCs w:val="18"/>
      </w:rPr>
      <w:fldChar w:fldCharType="separate"/>
    </w:r>
    <w:r>
      <w:rPr>
        <w:rFonts w:ascii="Gill Sans MT" w:hAnsi="Gill Sans MT"/>
        <w:b/>
        <w:bCs/>
        <w:noProof/>
        <w:sz w:val="18"/>
        <w:szCs w:val="18"/>
      </w:rPr>
      <w:t>6</w:t>
    </w:r>
    <w:r w:rsidRPr="00E54B6A">
      <w:rPr>
        <w:rFonts w:ascii="Gill Sans MT" w:hAnsi="Gill Sans MT"/>
        <w:b/>
        <w:bCs/>
        <w:sz w:val="18"/>
        <w:szCs w:val="18"/>
      </w:rPr>
      <w:fldChar w:fldCharType="end"/>
    </w:r>
    <w:r w:rsidRPr="00E54B6A">
      <w:rPr>
        <w:rFonts w:ascii="Gill Sans MT" w:hAnsi="Gill Sans MT"/>
        <w:sz w:val="18"/>
        <w:szCs w:val="18"/>
      </w:rPr>
      <w:t xml:space="preserve"> of </w:t>
    </w:r>
    <w:r w:rsidRPr="00E54B6A">
      <w:rPr>
        <w:rFonts w:ascii="Gill Sans MT" w:hAnsi="Gill Sans MT"/>
        <w:b/>
        <w:bCs/>
        <w:sz w:val="18"/>
        <w:szCs w:val="18"/>
      </w:rPr>
      <w:fldChar w:fldCharType="begin"/>
    </w:r>
    <w:r w:rsidRPr="00E54B6A">
      <w:rPr>
        <w:rFonts w:ascii="Gill Sans MT" w:hAnsi="Gill Sans MT"/>
        <w:b/>
        <w:bCs/>
        <w:sz w:val="18"/>
        <w:szCs w:val="18"/>
      </w:rPr>
      <w:instrText xml:space="preserve"> NUMPAGES  </w:instrText>
    </w:r>
    <w:r w:rsidRPr="00E54B6A">
      <w:rPr>
        <w:rFonts w:ascii="Gill Sans MT" w:hAnsi="Gill Sans MT"/>
        <w:b/>
        <w:bCs/>
        <w:sz w:val="18"/>
        <w:szCs w:val="18"/>
      </w:rPr>
      <w:fldChar w:fldCharType="separate"/>
    </w:r>
    <w:r>
      <w:rPr>
        <w:rFonts w:ascii="Gill Sans MT" w:hAnsi="Gill Sans MT"/>
        <w:b/>
        <w:bCs/>
        <w:noProof/>
        <w:sz w:val="18"/>
        <w:szCs w:val="18"/>
      </w:rPr>
      <w:t>6</w:t>
    </w:r>
    <w:r w:rsidRPr="00E54B6A">
      <w:rPr>
        <w:rFonts w:ascii="Gill Sans MT" w:hAnsi="Gill Sans MT"/>
        <w:b/>
        <w:bCs/>
        <w:sz w:val="18"/>
        <w:szCs w:val="18"/>
      </w:rPr>
      <w:fldChar w:fldCharType="end"/>
    </w:r>
  </w:p>
  <w:p w14:paraId="59CB6F58" w14:textId="77777777" w:rsidR="005C5EFC" w:rsidRDefault="005C5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D7BE" w14:textId="77777777" w:rsidR="000A7408" w:rsidRDefault="000A7408" w:rsidP="00B92FE6">
      <w:pPr>
        <w:spacing w:after="0" w:line="240" w:lineRule="auto"/>
      </w:pPr>
      <w:bookmarkStart w:id="0" w:name="_Hlk189997234"/>
      <w:bookmarkEnd w:id="0"/>
      <w:r>
        <w:separator/>
      </w:r>
    </w:p>
  </w:footnote>
  <w:footnote w:type="continuationSeparator" w:id="0">
    <w:p w14:paraId="7DEF3807" w14:textId="77777777" w:rsidR="000A7408" w:rsidRDefault="000A7408" w:rsidP="00B92FE6">
      <w:pPr>
        <w:spacing w:after="0" w:line="240" w:lineRule="auto"/>
      </w:pPr>
      <w:r>
        <w:continuationSeparator/>
      </w:r>
    </w:p>
  </w:footnote>
  <w:footnote w:type="continuationNotice" w:id="1">
    <w:p w14:paraId="4ABAFF2F" w14:textId="77777777" w:rsidR="000A7408" w:rsidRDefault="000A74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9A45" w14:textId="3E3D1235" w:rsidR="00294DD7" w:rsidRDefault="00294DD7" w:rsidP="00885C87">
    <w:pPr>
      <w:pStyle w:val="Header"/>
      <w:jc w:val="right"/>
    </w:pPr>
  </w:p>
  <w:p w14:paraId="754BFB0B" w14:textId="0C4B71FC" w:rsidR="00294DD7" w:rsidRDefault="00F1080F" w:rsidP="00885C87">
    <w:pPr>
      <w:pStyle w:val="Header"/>
      <w:jc w:val="right"/>
    </w:pPr>
    <w:r>
      <w:rPr>
        <w:noProof/>
        <w:lang w:val="en-GB" w:eastAsia="en-GB"/>
      </w:rPr>
      <w:drawing>
        <wp:inline distT="0" distB="0" distL="0" distR="0" wp14:anchorId="45608299" wp14:editId="227F0E50">
          <wp:extent cx="2178685" cy="433705"/>
          <wp:effectExtent l="0" t="0" r="0" b="4445"/>
          <wp:docPr id="1412124113" name="Picture 141212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85" cy="433705"/>
                  </a:xfrm>
                  <a:prstGeom prst="rect">
                    <a:avLst/>
                  </a:prstGeom>
                  <a:noFill/>
                </pic:spPr>
              </pic:pic>
            </a:graphicData>
          </a:graphic>
        </wp:inline>
      </w:drawing>
    </w:r>
  </w:p>
  <w:p w14:paraId="651907EF" w14:textId="40698CA2" w:rsidR="00E60275" w:rsidRDefault="00E60275" w:rsidP="00F108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43D"/>
    <w:multiLevelType w:val="hybridMultilevel"/>
    <w:tmpl w:val="0E029E06"/>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B415E7"/>
    <w:multiLevelType w:val="hybridMultilevel"/>
    <w:tmpl w:val="F4F852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F94159"/>
    <w:multiLevelType w:val="hybridMultilevel"/>
    <w:tmpl w:val="6500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6267D"/>
    <w:multiLevelType w:val="multilevel"/>
    <w:tmpl w:val="249868F8"/>
    <w:lvl w:ilvl="0">
      <w:start w:val="1"/>
      <w:numFmt w:val="decimal"/>
      <w:lvlText w:val="%1."/>
      <w:lvlJc w:val="left"/>
      <w:pPr>
        <w:tabs>
          <w:tab w:val="num" w:pos="360"/>
        </w:tabs>
        <w:ind w:left="360" w:hanging="360"/>
      </w:pPr>
      <w:rPr>
        <w:b/>
        <w:bCs/>
      </w:rPr>
    </w:lvl>
    <w:lvl w:ilvl="1">
      <w:start w:val="1"/>
      <w:numFmt w:val="bullet"/>
      <w:lvlText w:val=""/>
      <w:lvlJc w:val="left"/>
      <w:pPr>
        <w:ind w:left="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5026E27"/>
    <w:multiLevelType w:val="hybridMultilevel"/>
    <w:tmpl w:val="1844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C13B2"/>
    <w:multiLevelType w:val="hybridMultilevel"/>
    <w:tmpl w:val="4FA86F8A"/>
    <w:lvl w:ilvl="0" w:tplc="6922BC5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A5D06"/>
    <w:multiLevelType w:val="hybridMultilevel"/>
    <w:tmpl w:val="ECC02A4A"/>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7" w15:restartNumberingAfterBreak="0">
    <w:nsid w:val="27593AFF"/>
    <w:multiLevelType w:val="hybridMultilevel"/>
    <w:tmpl w:val="3026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93141"/>
    <w:multiLevelType w:val="hybridMultilevel"/>
    <w:tmpl w:val="85769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7F49F6"/>
    <w:multiLevelType w:val="hybridMultilevel"/>
    <w:tmpl w:val="42A2C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AD090F"/>
    <w:multiLevelType w:val="hybridMultilevel"/>
    <w:tmpl w:val="C5ACE774"/>
    <w:lvl w:ilvl="0" w:tplc="4ED262E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E39C7"/>
    <w:multiLevelType w:val="multilevel"/>
    <w:tmpl w:val="C0680E54"/>
    <w:lvl w:ilvl="0">
      <w:start w:val="1"/>
      <w:numFmt w:val="decimal"/>
      <w:lvlText w:val="%1."/>
      <w:lvlJc w:val="left"/>
      <w:pPr>
        <w:tabs>
          <w:tab w:val="num" w:pos="360"/>
        </w:tabs>
        <w:ind w:left="360" w:hanging="360"/>
      </w:pPr>
    </w:lvl>
    <w:lvl w:ilvl="1">
      <w:start w:val="1"/>
      <w:numFmt w:val="bullet"/>
      <w:lvlText w:val=""/>
      <w:lvlJc w:val="left"/>
      <w:pPr>
        <w:ind w:left="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5F92827"/>
    <w:multiLevelType w:val="multilevel"/>
    <w:tmpl w:val="2B58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F0A25"/>
    <w:multiLevelType w:val="multilevel"/>
    <w:tmpl w:val="BDA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D573A"/>
    <w:multiLevelType w:val="multilevel"/>
    <w:tmpl w:val="46C2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D60BE"/>
    <w:multiLevelType w:val="hybridMultilevel"/>
    <w:tmpl w:val="16E8421C"/>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320FF"/>
    <w:multiLevelType w:val="hybridMultilevel"/>
    <w:tmpl w:val="7242E90A"/>
    <w:lvl w:ilvl="0" w:tplc="0E60D564">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577BC2"/>
    <w:multiLevelType w:val="multilevel"/>
    <w:tmpl w:val="01A8FBC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911C6"/>
    <w:multiLevelType w:val="hybridMultilevel"/>
    <w:tmpl w:val="32B2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725EC"/>
    <w:multiLevelType w:val="hybridMultilevel"/>
    <w:tmpl w:val="0E9A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D3965"/>
    <w:multiLevelType w:val="multilevel"/>
    <w:tmpl w:val="2188AA22"/>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1" w15:restartNumberingAfterBreak="0">
    <w:nsid w:val="6A4C255D"/>
    <w:multiLevelType w:val="hybridMultilevel"/>
    <w:tmpl w:val="5354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73DA2"/>
    <w:multiLevelType w:val="multilevel"/>
    <w:tmpl w:val="E39A3DB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171248"/>
    <w:multiLevelType w:val="hybridMultilevel"/>
    <w:tmpl w:val="F9E2FB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C5379"/>
    <w:multiLevelType w:val="hybridMultilevel"/>
    <w:tmpl w:val="4196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C56BB"/>
    <w:multiLevelType w:val="hybridMultilevel"/>
    <w:tmpl w:val="0E029E06"/>
    <w:lvl w:ilvl="0" w:tplc="6F50D668">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64016"/>
    <w:multiLevelType w:val="multilevel"/>
    <w:tmpl w:val="8A3A79EC"/>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27" w15:restartNumberingAfterBreak="0">
    <w:nsid w:val="779025A9"/>
    <w:multiLevelType w:val="hybridMultilevel"/>
    <w:tmpl w:val="F90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0C6AED"/>
    <w:multiLevelType w:val="hybridMultilevel"/>
    <w:tmpl w:val="13C26EAA"/>
    <w:lvl w:ilvl="0" w:tplc="85A8E000">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num w:numId="1" w16cid:durableId="1393651140">
    <w:abstractNumId w:val="9"/>
  </w:num>
  <w:num w:numId="2" w16cid:durableId="1246955614">
    <w:abstractNumId w:val="25"/>
  </w:num>
  <w:num w:numId="3" w16cid:durableId="1128813810">
    <w:abstractNumId w:val="23"/>
  </w:num>
  <w:num w:numId="4" w16cid:durableId="1339848334">
    <w:abstractNumId w:val="28"/>
  </w:num>
  <w:num w:numId="5" w16cid:durableId="738408413">
    <w:abstractNumId w:val="18"/>
  </w:num>
  <w:num w:numId="6" w16cid:durableId="1016419298">
    <w:abstractNumId w:val="16"/>
  </w:num>
  <w:num w:numId="7" w16cid:durableId="815490285">
    <w:abstractNumId w:val="5"/>
  </w:num>
  <w:num w:numId="8" w16cid:durableId="1371300261">
    <w:abstractNumId w:val="8"/>
  </w:num>
  <w:num w:numId="9" w16cid:durableId="1992519944">
    <w:abstractNumId w:val="1"/>
  </w:num>
  <w:num w:numId="10" w16cid:durableId="691415771">
    <w:abstractNumId w:val="6"/>
  </w:num>
  <w:num w:numId="11" w16cid:durableId="1398439017">
    <w:abstractNumId w:val="10"/>
  </w:num>
  <w:num w:numId="12" w16cid:durableId="421411927">
    <w:abstractNumId w:val="0"/>
  </w:num>
  <w:num w:numId="13" w16cid:durableId="1537548092">
    <w:abstractNumId w:val="27"/>
  </w:num>
  <w:num w:numId="14" w16cid:durableId="930968234">
    <w:abstractNumId w:val="17"/>
  </w:num>
  <w:num w:numId="15" w16cid:durableId="828059545">
    <w:abstractNumId w:val="15"/>
  </w:num>
  <w:num w:numId="16" w16cid:durableId="730233297">
    <w:abstractNumId w:val="2"/>
  </w:num>
  <w:num w:numId="17" w16cid:durableId="475612673">
    <w:abstractNumId w:val="22"/>
  </w:num>
  <w:num w:numId="18" w16cid:durableId="943270350">
    <w:abstractNumId w:val="20"/>
  </w:num>
  <w:num w:numId="19" w16cid:durableId="2025935295">
    <w:abstractNumId w:val="26"/>
  </w:num>
  <w:num w:numId="20" w16cid:durableId="1538855173">
    <w:abstractNumId w:val="3"/>
  </w:num>
  <w:num w:numId="21" w16cid:durableId="1088575436">
    <w:abstractNumId w:val="14"/>
  </w:num>
  <w:num w:numId="22" w16cid:durableId="1010834591">
    <w:abstractNumId w:val="13"/>
  </w:num>
  <w:num w:numId="23" w16cid:durableId="1655066136">
    <w:abstractNumId w:val="11"/>
  </w:num>
  <w:num w:numId="24" w16cid:durableId="1259144681">
    <w:abstractNumId w:val="12"/>
  </w:num>
  <w:num w:numId="25" w16cid:durableId="1430353853">
    <w:abstractNumId w:val="24"/>
  </w:num>
  <w:num w:numId="26" w16cid:durableId="1441755930">
    <w:abstractNumId w:val="21"/>
  </w:num>
  <w:num w:numId="27" w16cid:durableId="1978098449">
    <w:abstractNumId w:val="19"/>
  </w:num>
  <w:num w:numId="28" w16cid:durableId="1306467447">
    <w:abstractNumId w:val="7"/>
  </w:num>
  <w:num w:numId="29" w16cid:durableId="20259513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tzQ1NTc1NLU0MTVT0lEKTi0uzszPAykwqgUA0bJlKiwAAAA="/>
  </w:docVars>
  <w:rsids>
    <w:rsidRoot w:val="00B92FE6"/>
    <w:rsid w:val="00000ABE"/>
    <w:rsid w:val="000023A0"/>
    <w:rsid w:val="000176FB"/>
    <w:rsid w:val="00017DF8"/>
    <w:rsid w:val="00021354"/>
    <w:rsid w:val="000240EF"/>
    <w:rsid w:val="00025A3A"/>
    <w:rsid w:val="000262F6"/>
    <w:rsid w:val="00027790"/>
    <w:rsid w:val="0003085B"/>
    <w:rsid w:val="00032A94"/>
    <w:rsid w:val="00033FCC"/>
    <w:rsid w:val="0003424C"/>
    <w:rsid w:val="00040D21"/>
    <w:rsid w:val="00041B53"/>
    <w:rsid w:val="000425CA"/>
    <w:rsid w:val="000462EE"/>
    <w:rsid w:val="00047E12"/>
    <w:rsid w:val="0005072C"/>
    <w:rsid w:val="0005108F"/>
    <w:rsid w:val="0005313D"/>
    <w:rsid w:val="00054F9D"/>
    <w:rsid w:val="000551A4"/>
    <w:rsid w:val="000600E8"/>
    <w:rsid w:val="0006055D"/>
    <w:rsid w:val="00060863"/>
    <w:rsid w:val="00060B1B"/>
    <w:rsid w:val="00061958"/>
    <w:rsid w:val="000635E0"/>
    <w:rsid w:val="000645E2"/>
    <w:rsid w:val="0006518C"/>
    <w:rsid w:val="00065393"/>
    <w:rsid w:val="00066CE6"/>
    <w:rsid w:val="00070594"/>
    <w:rsid w:val="00072738"/>
    <w:rsid w:val="00076F9F"/>
    <w:rsid w:val="00077260"/>
    <w:rsid w:val="00082213"/>
    <w:rsid w:val="00082F13"/>
    <w:rsid w:val="000868F2"/>
    <w:rsid w:val="00087FD4"/>
    <w:rsid w:val="000909F6"/>
    <w:rsid w:val="00090E51"/>
    <w:rsid w:val="0009152B"/>
    <w:rsid w:val="000933DC"/>
    <w:rsid w:val="00093DBF"/>
    <w:rsid w:val="00095E37"/>
    <w:rsid w:val="000A191F"/>
    <w:rsid w:val="000A574E"/>
    <w:rsid w:val="000A5D31"/>
    <w:rsid w:val="000A5D85"/>
    <w:rsid w:val="000A6953"/>
    <w:rsid w:val="000A7408"/>
    <w:rsid w:val="000A74C2"/>
    <w:rsid w:val="000B439F"/>
    <w:rsid w:val="000B466E"/>
    <w:rsid w:val="000B49E0"/>
    <w:rsid w:val="000B4A4E"/>
    <w:rsid w:val="000B5501"/>
    <w:rsid w:val="000B5C1C"/>
    <w:rsid w:val="000C1B2D"/>
    <w:rsid w:val="000C1E6C"/>
    <w:rsid w:val="000C6264"/>
    <w:rsid w:val="000C62F2"/>
    <w:rsid w:val="000D1D10"/>
    <w:rsid w:val="000D2496"/>
    <w:rsid w:val="000D45C9"/>
    <w:rsid w:val="000D58AE"/>
    <w:rsid w:val="000D7B8D"/>
    <w:rsid w:val="000E0E29"/>
    <w:rsid w:val="000E228F"/>
    <w:rsid w:val="000E276F"/>
    <w:rsid w:val="000E3B4D"/>
    <w:rsid w:val="000E6452"/>
    <w:rsid w:val="000E6F99"/>
    <w:rsid w:val="000F3AE6"/>
    <w:rsid w:val="000F4135"/>
    <w:rsid w:val="000F6C05"/>
    <w:rsid w:val="00100E3D"/>
    <w:rsid w:val="00102BFF"/>
    <w:rsid w:val="00105880"/>
    <w:rsid w:val="00107F1D"/>
    <w:rsid w:val="00110538"/>
    <w:rsid w:val="00110661"/>
    <w:rsid w:val="00110F45"/>
    <w:rsid w:val="001133FD"/>
    <w:rsid w:val="001160A8"/>
    <w:rsid w:val="001169DD"/>
    <w:rsid w:val="001213CF"/>
    <w:rsid w:val="00122C6A"/>
    <w:rsid w:val="00125284"/>
    <w:rsid w:val="001254E8"/>
    <w:rsid w:val="00125861"/>
    <w:rsid w:val="001259BE"/>
    <w:rsid w:val="00126131"/>
    <w:rsid w:val="0013002B"/>
    <w:rsid w:val="0013104D"/>
    <w:rsid w:val="00131DB9"/>
    <w:rsid w:val="001352AA"/>
    <w:rsid w:val="00135836"/>
    <w:rsid w:val="00143C69"/>
    <w:rsid w:val="001450B0"/>
    <w:rsid w:val="001458BD"/>
    <w:rsid w:val="0014653F"/>
    <w:rsid w:val="00150097"/>
    <w:rsid w:val="001509EC"/>
    <w:rsid w:val="00150F8F"/>
    <w:rsid w:val="00151587"/>
    <w:rsid w:val="0015293B"/>
    <w:rsid w:val="00156FFC"/>
    <w:rsid w:val="00162DDB"/>
    <w:rsid w:val="00163434"/>
    <w:rsid w:val="0016551B"/>
    <w:rsid w:val="0016574B"/>
    <w:rsid w:val="0017349D"/>
    <w:rsid w:val="00174D91"/>
    <w:rsid w:val="0018067E"/>
    <w:rsid w:val="00180E4B"/>
    <w:rsid w:val="00181248"/>
    <w:rsid w:val="00181257"/>
    <w:rsid w:val="00181641"/>
    <w:rsid w:val="00182267"/>
    <w:rsid w:val="00183362"/>
    <w:rsid w:val="00190A63"/>
    <w:rsid w:val="00196501"/>
    <w:rsid w:val="00197891"/>
    <w:rsid w:val="001A17C7"/>
    <w:rsid w:val="001A3B97"/>
    <w:rsid w:val="001A5935"/>
    <w:rsid w:val="001A7A81"/>
    <w:rsid w:val="001A7DF8"/>
    <w:rsid w:val="001B50FB"/>
    <w:rsid w:val="001B59DF"/>
    <w:rsid w:val="001B5C03"/>
    <w:rsid w:val="001B6EF1"/>
    <w:rsid w:val="001C0DFF"/>
    <w:rsid w:val="001C1C27"/>
    <w:rsid w:val="001C3F62"/>
    <w:rsid w:val="001C411B"/>
    <w:rsid w:val="001C7D1E"/>
    <w:rsid w:val="001D1048"/>
    <w:rsid w:val="001D2526"/>
    <w:rsid w:val="001D5E3C"/>
    <w:rsid w:val="001E60CA"/>
    <w:rsid w:val="001F1046"/>
    <w:rsid w:val="001F1F92"/>
    <w:rsid w:val="001F200B"/>
    <w:rsid w:val="001F2F72"/>
    <w:rsid w:val="001F3291"/>
    <w:rsid w:val="001F5F76"/>
    <w:rsid w:val="0020266D"/>
    <w:rsid w:val="00202A94"/>
    <w:rsid w:val="00210020"/>
    <w:rsid w:val="002144CC"/>
    <w:rsid w:val="002148F3"/>
    <w:rsid w:val="00215111"/>
    <w:rsid w:val="0021586C"/>
    <w:rsid w:val="0021631E"/>
    <w:rsid w:val="00221474"/>
    <w:rsid w:val="00221864"/>
    <w:rsid w:val="00222377"/>
    <w:rsid w:val="002232FA"/>
    <w:rsid w:val="00224C7C"/>
    <w:rsid w:val="00225BC3"/>
    <w:rsid w:val="002278BD"/>
    <w:rsid w:val="00230D4A"/>
    <w:rsid w:val="00232291"/>
    <w:rsid w:val="00232991"/>
    <w:rsid w:val="002345DD"/>
    <w:rsid w:val="002347E9"/>
    <w:rsid w:val="0023556C"/>
    <w:rsid w:val="00243006"/>
    <w:rsid w:val="00243E1C"/>
    <w:rsid w:val="0025084B"/>
    <w:rsid w:val="002509AE"/>
    <w:rsid w:val="00251362"/>
    <w:rsid w:val="00251D66"/>
    <w:rsid w:val="00252A58"/>
    <w:rsid w:val="00252E45"/>
    <w:rsid w:val="0025444E"/>
    <w:rsid w:val="0025675B"/>
    <w:rsid w:val="00256872"/>
    <w:rsid w:val="00257F1E"/>
    <w:rsid w:val="002622D4"/>
    <w:rsid w:val="00263388"/>
    <w:rsid w:val="00264A2C"/>
    <w:rsid w:val="00265950"/>
    <w:rsid w:val="00270933"/>
    <w:rsid w:val="00272625"/>
    <w:rsid w:val="00272A69"/>
    <w:rsid w:val="00274281"/>
    <w:rsid w:val="002818C8"/>
    <w:rsid w:val="002821F8"/>
    <w:rsid w:val="00282C60"/>
    <w:rsid w:val="00282D76"/>
    <w:rsid w:val="002860B6"/>
    <w:rsid w:val="00286EED"/>
    <w:rsid w:val="002874F0"/>
    <w:rsid w:val="00293275"/>
    <w:rsid w:val="00293902"/>
    <w:rsid w:val="00294DD7"/>
    <w:rsid w:val="00294EBD"/>
    <w:rsid w:val="002A16AD"/>
    <w:rsid w:val="002A3994"/>
    <w:rsid w:val="002A601F"/>
    <w:rsid w:val="002A6498"/>
    <w:rsid w:val="002A66B7"/>
    <w:rsid w:val="002A74A1"/>
    <w:rsid w:val="002A76EF"/>
    <w:rsid w:val="002B0F56"/>
    <w:rsid w:val="002B5CA7"/>
    <w:rsid w:val="002B658A"/>
    <w:rsid w:val="002B7CF0"/>
    <w:rsid w:val="002C1957"/>
    <w:rsid w:val="002C21C5"/>
    <w:rsid w:val="002C274E"/>
    <w:rsid w:val="002C2CA0"/>
    <w:rsid w:val="002C3C53"/>
    <w:rsid w:val="002C5835"/>
    <w:rsid w:val="002C5E2C"/>
    <w:rsid w:val="002C78A5"/>
    <w:rsid w:val="002D152B"/>
    <w:rsid w:val="002D271D"/>
    <w:rsid w:val="002D5AF4"/>
    <w:rsid w:val="002E02D0"/>
    <w:rsid w:val="002E4943"/>
    <w:rsid w:val="002E4BFC"/>
    <w:rsid w:val="002E504A"/>
    <w:rsid w:val="002E6AC5"/>
    <w:rsid w:val="002E6D4F"/>
    <w:rsid w:val="002F02F7"/>
    <w:rsid w:val="002F0977"/>
    <w:rsid w:val="002F0A4A"/>
    <w:rsid w:val="002F109A"/>
    <w:rsid w:val="002F14E3"/>
    <w:rsid w:val="002F1FAE"/>
    <w:rsid w:val="002F2D26"/>
    <w:rsid w:val="002F2EBA"/>
    <w:rsid w:val="002F4376"/>
    <w:rsid w:val="002F5CBD"/>
    <w:rsid w:val="002F6681"/>
    <w:rsid w:val="00300147"/>
    <w:rsid w:val="003029CF"/>
    <w:rsid w:val="0030317C"/>
    <w:rsid w:val="003061A2"/>
    <w:rsid w:val="0031042C"/>
    <w:rsid w:val="00314210"/>
    <w:rsid w:val="003178CE"/>
    <w:rsid w:val="00317A8F"/>
    <w:rsid w:val="00320AD2"/>
    <w:rsid w:val="00320EFF"/>
    <w:rsid w:val="00321D6E"/>
    <w:rsid w:val="003225E5"/>
    <w:rsid w:val="003233F7"/>
    <w:rsid w:val="003260F6"/>
    <w:rsid w:val="00331644"/>
    <w:rsid w:val="00332790"/>
    <w:rsid w:val="0033656F"/>
    <w:rsid w:val="00340E1A"/>
    <w:rsid w:val="00343842"/>
    <w:rsid w:val="00343858"/>
    <w:rsid w:val="00345C52"/>
    <w:rsid w:val="003462BD"/>
    <w:rsid w:val="00347FE7"/>
    <w:rsid w:val="003521F6"/>
    <w:rsid w:val="00352295"/>
    <w:rsid w:val="00352736"/>
    <w:rsid w:val="003533CE"/>
    <w:rsid w:val="0035362F"/>
    <w:rsid w:val="00354BE3"/>
    <w:rsid w:val="00355763"/>
    <w:rsid w:val="00355F6D"/>
    <w:rsid w:val="00356550"/>
    <w:rsid w:val="00357F6F"/>
    <w:rsid w:val="00360A32"/>
    <w:rsid w:val="003650C8"/>
    <w:rsid w:val="003755D5"/>
    <w:rsid w:val="00380AFF"/>
    <w:rsid w:val="00381CA1"/>
    <w:rsid w:val="003822B9"/>
    <w:rsid w:val="0038696C"/>
    <w:rsid w:val="00387835"/>
    <w:rsid w:val="00391734"/>
    <w:rsid w:val="00392939"/>
    <w:rsid w:val="00392961"/>
    <w:rsid w:val="0039386E"/>
    <w:rsid w:val="00394AE9"/>
    <w:rsid w:val="00395A5D"/>
    <w:rsid w:val="00396194"/>
    <w:rsid w:val="003A0FD7"/>
    <w:rsid w:val="003A21C1"/>
    <w:rsid w:val="003A46CD"/>
    <w:rsid w:val="003A4B7D"/>
    <w:rsid w:val="003A64B1"/>
    <w:rsid w:val="003A64F4"/>
    <w:rsid w:val="003A78F3"/>
    <w:rsid w:val="003B1455"/>
    <w:rsid w:val="003B197E"/>
    <w:rsid w:val="003B20D1"/>
    <w:rsid w:val="003B21C8"/>
    <w:rsid w:val="003B5316"/>
    <w:rsid w:val="003B53AE"/>
    <w:rsid w:val="003B587F"/>
    <w:rsid w:val="003B6D5E"/>
    <w:rsid w:val="003B77FD"/>
    <w:rsid w:val="003C08B4"/>
    <w:rsid w:val="003C34C1"/>
    <w:rsid w:val="003C4C1D"/>
    <w:rsid w:val="003C6477"/>
    <w:rsid w:val="003C6947"/>
    <w:rsid w:val="003C6A22"/>
    <w:rsid w:val="003C765B"/>
    <w:rsid w:val="003D1E81"/>
    <w:rsid w:val="003D4B0D"/>
    <w:rsid w:val="003D6F33"/>
    <w:rsid w:val="003D6F36"/>
    <w:rsid w:val="003D786B"/>
    <w:rsid w:val="003E0043"/>
    <w:rsid w:val="003E1F4E"/>
    <w:rsid w:val="003E24EE"/>
    <w:rsid w:val="003E3384"/>
    <w:rsid w:val="003E4AB7"/>
    <w:rsid w:val="003F1E4F"/>
    <w:rsid w:val="003F2ACF"/>
    <w:rsid w:val="003F4C10"/>
    <w:rsid w:val="003F638D"/>
    <w:rsid w:val="003F6A97"/>
    <w:rsid w:val="00400E59"/>
    <w:rsid w:val="00400F5F"/>
    <w:rsid w:val="0040190C"/>
    <w:rsid w:val="00403397"/>
    <w:rsid w:val="00404AB8"/>
    <w:rsid w:val="00404B5B"/>
    <w:rsid w:val="00405004"/>
    <w:rsid w:val="0040607B"/>
    <w:rsid w:val="004077DE"/>
    <w:rsid w:val="0041100B"/>
    <w:rsid w:val="00416224"/>
    <w:rsid w:val="00416B82"/>
    <w:rsid w:val="00427FA1"/>
    <w:rsid w:val="00431773"/>
    <w:rsid w:val="00432209"/>
    <w:rsid w:val="0043475C"/>
    <w:rsid w:val="00436B40"/>
    <w:rsid w:val="00437408"/>
    <w:rsid w:val="0043772B"/>
    <w:rsid w:val="004402DD"/>
    <w:rsid w:val="00442DC1"/>
    <w:rsid w:val="004441EA"/>
    <w:rsid w:val="00447087"/>
    <w:rsid w:val="00453070"/>
    <w:rsid w:val="00455026"/>
    <w:rsid w:val="0045512E"/>
    <w:rsid w:val="0045691C"/>
    <w:rsid w:val="00461FDF"/>
    <w:rsid w:val="00462FE6"/>
    <w:rsid w:val="00466F1A"/>
    <w:rsid w:val="004705CA"/>
    <w:rsid w:val="00471A3C"/>
    <w:rsid w:val="00472275"/>
    <w:rsid w:val="00472316"/>
    <w:rsid w:val="00474B96"/>
    <w:rsid w:val="0047704D"/>
    <w:rsid w:val="00477744"/>
    <w:rsid w:val="0048077B"/>
    <w:rsid w:val="00480A75"/>
    <w:rsid w:val="004813A2"/>
    <w:rsid w:val="004816DB"/>
    <w:rsid w:val="00482487"/>
    <w:rsid w:val="00483B55"/>
    <w:rsid w:val="00484241"/>
    <w:rsid w:val="00485FD5"/>
    <w:rsid w:val="004871BE"/>
    <w:rsid w:val="00487A77"/>
    <w:rsid w:val="00490163"/>
    <w:rsid w:val="0049048E"/>
    <w:rsid w:val="00493007"/>
    <w:rsid w:val="00493CDF"/>
    <w:rsid w:val="00493F44"/>
    <w:rsid w:val="004952DF"/>
    <w:rsid w:val="00496F9D"/>
    <w:rsid w:val="004A087C"/>
    <w:rsid w:val="004A2B7F"/>
    <w:rsid w:val="004A64C6"/>
    <w:rsid w:val="004B1CB6"/>
    <w:rsid w:val="004B40AA"/>
    <w:rsid w:val="004B593B"/>
    <w:rsid w:val="004B7167"/>
    <w:rsid w:val="004C005D"/>
    <w:rsid w:val="004C0910"/>
    <w:rsid w:val="004C0EE6"/>
    <w:rsid w:val="004C10CE"/>
    <w:rsid w:val="004C1966"/>
    <w:rsid w:val="004C322B"/>
    <w:rsid w:val="004C55D5"/>
    <w:rsid w:val="004C6A31"/>
    <w:rsid w:val="004C7DE7"/>
    <w:rsid w:val="004D250F"/>
    <w:rsid w:val="004D3BAF"/>
    <w:rsid w:val="004D6042"/>
    <w:rsid w:val="004D6BF6"/>
    <w:rsid w:val="004E162C"/>
    <w:rsid w:val="004E2507"/>
    <w:rsid w:val="004E38D3"/>
    <w:rsid w:val="004E39D1"/>
    <w:rsid w:val="004E4521"/>
    <w:rsid w:val="004E5E12"/>
    <w:rsid w:val="004E6D40"/>
    <w:rsid w:val="004E762A"/>
    <w:rsid w:val="004F336D"/>
    <w:rsid w:val="004F578F"/>
    <w:rsid w:val="004F797E"/>
    <w:rsid w:val="00500947"/>
    <w:rsid w:val="00502E1D"/>
    <w:rsid w:val="005032F9"/>
    <w:rsid w:val="00504A7B"/>
    <w:rsid w:val="005073CA"/>
    <w:rsid w:val="0051035F"/>
    <w:rsid w:val="005103A5"/>
    <w:rsid w:val="005103DA"/>
    <w:rsid w:val="00510917"/>
    <w:rsid w:val="005115C0"/>
    <w:rsid w:val="005132E0"/>
    <w:rsid w:val="005137AF"/>
    <w:rsid w:val="0051643C"/>
    <w:rsid w:val="00522540"/>
    <w:rsid w:val="00522AA2"/>
    <w:rsid w:val="0052355F"/>
    <w:rsid w:val="005241A2"/>
    <w:rsid w:val="00524EE7"/>
    <w:rsid w:val="005262FC"/>
    <w:rsid w:val="0053050F"/>
    <w:rsid w:val="005305B3"/>
    <w:rsid w:val="005309C2"/>
    <w:rsid w:val="005310AD"/>
    <w:rsid w:val="0053196B"/>
    <w:rsid w:val="00532A44"/>
    <w:rsid w:val="00534EB9"/>
    <w:rsid w:val="005400B6"/>
    <w:rsid w:val="005400BF"/>
    <w:rsid w:val="0054085C"/>
    <w:rsid w:val="005445F4"/>
    <w:rsid w:val="0054543F"/>
    <w:rsid w:val="0054575A"/>
    <w:rsid w:val="005472AC"/>
    <w:rsid w:val="005509FE"/>
    <w:rsid w:val="00550C08"/>
    <w:rsid w:val="00551091"/>
    <w:rsid w:val="00551AF4"/>
    <w:rsid w:val="00552F70"/>
    <w:rsid w:val="00553727"/>
    <w:rsid w:val="00560239"/>
    <w:rsid w:val="00560D71"/>
    <w:rsid w:val="00564B12"/>
    <w:rsid w:val="005711E0"/>
    <w:rsid w:val="0057121C"/>
    <w:rsid w:val="00571AAA"/>
    <w:rsid w:val="00574B50"/>
    <w:rsid w:val="00574E6F"/>
    <w:rsid w:val="0057516B"/>
    <w:rsid w:val="005769A3"/>
    <w:rsid w:val="00576D69"/>
    <w:rsid w:val="00577524"/>
    <w:rsid w:val="005818D8"/>
    <w:rsid w:val="00583947"/>
    <w:rsid w:val="00584432"/>
    <w:rsid w:val="00586DD9"/>
    <w:rsid w:val="00593508"/>
    <w:rsid w:val="00594184"/>
    <w:rsid w:val="005951BF"/>
    <w:rsid w:val="00595D2F"/>
    <w:rsid w:val="00596B07"/>
    <w:rsid w:val="005976FA"/>
    <w:rsid w:val="00597CB1"/>
    <w:rsid w:val="005A0EDB"/>
    <w:rsid w:val="005A203B"/>
    <w:rsid w:val="005A23CE"/>
    <w:rsid w:val="005A2E8A"/>
    <w:rsid w:val="005B259A"/>
    <w:rsid w:val="005B561A"/>
    <w:rsid w:val="005B56A7"/>
    <w:rsid w:val="005B6CC5"/>
    <w:rsid w:val="005C143B"/>
    <w:rsid w:val="005C54D0"/>
    <w:rsid w:val="005C5EFC"/>
    <w:rsid w:val="005C72C7"/>
    <w:rsid w:val="005D11F9"/>
    <w:rsid w:val="005D2D16"/>
    <w:rsid w:val="005D566B"/>
    <w:rsid w:val="005E17F5"/>
    <w:rsid w:val="005E1AE3"/>
    <w:rsid w:val="005E3E28"/>
    <w:rsid w:val="005E51AC"/>
    <w:rsid w:val="005E5D03"/>
    <w:rsid w:val="005F5809"/>
    <w:rsid w:val="005F5866"/>
    <w:rsid w:val="0060026A"/>
    <w:rsid w:val="006012A2"/>
    <w:rsid w:val="00604636"/>
    <w:rsid w:val="00604A78"/>
    <w:rsid w:val="00606B08"/>
    <w:rsid w:val="00610698"/>
    <w:rsid w:val="00613A32"/>
    <w:rsid w:val="0061458A"/>
    <w:rsid w:val="0061648B"/>
    <w:rsid w:val="00617577"/>
    <w:rsid w:val="00621994"/>
    <w:rsid w:val="00623081"/>
    <w:rsid w:val="00627B0C"/>
    <w:rsid w:val="00632683"/>
    <w:rsid w:val="00632703"/>
    <w:rsid w:val="00632F28"/>
    <w:rsid w:val="00633030"/>
    <w:rsid w:val="00633415"/>
    <w:rsid w:val="00635BC4"/>
    <w:rsid w:val="006365A1"/>
    <w:rsid w:val="0063723A"/>
    <w:rsid w:val="00637751"/>
    <w:rsid w:val="006401B5"/>
    <w:rsid w:val="00640F91"/>
    <w:rsid w:val="00641B74"/>
    <w:rsid w:val="00642E31"/>
    <w:rsid w:val="00645E0C"/>
    <w:rsid w:val="006518F8"/>
    <w:rsid w:val="00655A44"/>
    <w:rsid w:val="006602E3"/>
    <w:rsid w:val="0066187A"/>
    <w:rsid w:val="00664845"/>
    <w:rsid w:val="00664A8A"/>
    <w:rsid w:val="00665550"/>
    <w:rsid w:val="00666105"/>
    <w:rsid w:val="006664BD"/>
    <w:rsid w:val="00666C81"/>
    <w:rsid w:val="00676F52"/>
    <w:rsid w:val="0067765A"/>
    <w:rsid w:val="0068021D"/>
    <w:rsid w:val="00681063"/>
    <w:rsid w:val="00681105"/>
    <w:rsid w:val="00682826"/>
    <w:rsid w:val="006840BC"/>
    <w:rsid w:val="00690359"/>
    <w:rsid w:val="00690B54"/>
    <w:rsid w:val="0069216D"/>
    <w:rsid w:val="00692ACE"/>
    <w:rsid w:val="006952EE"/>
    <w:rsid w:val="0069737C"/>
    <w:rsid w:val="00697609"/>
    <w:rsid w:val="006A221A"/>
    <w:rsid w:val="006A24BC"/>
    <w:rsid w:val="006A2FBC"/>
    <w:rsid w:val="006A6798"/>
    <w:rsid w:val="006A7B8C"/>
    <w:rsid w:val="006B0CF6"/>
    <w:rsid w:val="006B227D"/>
    <w:rsid w:val="006B67B3"/>
    <w:rsid w:val="006C0F37"/>
    <w:rsid w:val="006D0104"/>
    <w:rsid w:val="006D0D43"/>
    <w:rsid w:val="006D166E"/>
    <w:rsid w:val="006D3317"/>
    <w:rsid w:val="006D35C0"/>
    <w:rsid w:val="006E1F1A"/>
    <w:rsid w:val="006E4FA3"/>
    <w:rsid w:val="006E5E44"/>
    <w:rsid w:val="006F0813"/>
    <w:rsid w:val="006F2138"/>
    <w:rsid w:val="006F418B"/>
    <w:rsid w:val="006F43DF"/>
    <w:rsid w:val="006F68CA"/>
    <w:rsid w:val="00701B89"/>
    <w:rsid w:val="00702288"/>
    <w:rsid w:val="00703517"/>
    <w:rsid w:val="00711FA2"/>
    <w:rsid w:val="007121E5"/>
    <w:rsid w:val="00713459"/>
    <w:rsid w:val="00717FCE"/>
    <w:rsid w:val="0072329C"/>
    <w:rsid w:val="00723D17"/>
    <w:rsid w:val="00727BD5"/>
    <w:rsid w:val="00734182"/>
    <w:rsid w:val="00734C6A"/>
    <w:rsid w:val="00736287"/>
    <w:rsid w:val="007404AF"/>
    <w:rsid w:val="00744A56"/>
    <w:rsid w:val="00746032"/>
    <w:rsid w:val="00747967"/>
    <w:rsid w:val="0075036A"/>
    <w:rsid w:val="0075198F"/>
    <w:rsid w:val="00753611"/>
    <w:rsid w:val="0075468F"/>
    <w:rsid w:val="0075504B"/>
    <w:rsid w:val="0075511B"/>
    <w:rsid w:val="00755798"/>
    <w:rsid w:val="007568F7"/>
    <w:rsid w:val="00757B94"/>
    <w:rsid w:val="007626E7"/>
    <w:rsid w:val="00762D12"/>
    <w:rsid w:val="007635C8"/>
    <w:rsid w:val="00766924"/>
    <w:rsid w:val="00770F5E"/>
    <w:rsid w:val="00771C82"/>
    <w:rsid w:val="00772F45"/>
    <w:rsid w:val="00773AA7"/>
    <w:rsid w:val="00775278"/>
    <w:rsid w:val="00776C78"/>
    <w:rsid w:val="00781447"/>
    <w:rsid w:val="007828A3"/>
    <w:rsid w:val="00784671"/>
    <w:rsid w:val="00785231"/>
    <w:rsid w:val="00785DFD"/>
    <w:rsid w:val="00790C56"/>
    <w:rsid w:val="007934D6"/>
    <w:rsid w:val="007946CD"/>
    <w:rsid w:val="00794CE7"/>
    <w:rsid w:val="00794D78"/>
    <w:rsid w:val="007A0FFE"/>
    <w:rsid w:val="007A31AE"/>
    <w:rsid w:val="007A4676"/>
    <w:rsid w:val="007A6DC1"/>
    <w:rsid w:val="007B1C79"/>
    <w:rsid w:val="007B334D"/>
    <w:rsid w:val="007B5217"/>
    <w:rsid w:val="007B5495"/>
    <w:rsid w:val="007B5ECF"/>
    <w:rsid w:val="007C0B15"/>
    <w:rsid w:val="007C6C8B"/>
    <w:rsid w:val="007D13A9"/>
    <w:rsid w:val="007D2609"/>
    <w:rsid w:val="007D5930"/>
    <w:rsid w:val="007D59A7"/>
    <w:rsid w:val="007D6CE3"/>
    <w:rsid w:val="007D7025"/>
    <w:rsid w:val="007D7BBD"/>
    <w:rsid w:val="007E52A3"/>
    <w:rsid w:val="007E5DB9"/>
    <w:rsid w:val="007E7AD7"/>
    <w:rsid w:val="007F100B"/>
    <w:rsid w:val="007F2B63"/>
    <w:rsid w:val="00800A0E"/>
    <w:rsid w:val="0080159F"/>
    <w:rsid w:val="00802930"/>
    <w:rsid w:val="00807712"/>
    <w:rsid w:val="00807AA5"/>
    <w:rsid w:val="00812613"/>
    <w:rsid w:val="00813C43"/>
    <w:rsid w:val="00815EE4"/>
    <w:rsid w:val="008162BD"/>
    <w:rsid w:val="008171B8"/>
    <w:rsid w:val="008175ED"/>
    <w:rsid w:val="00820D70"/>
    <w:rsid w:val="008263A5"/>
    <w:rsid w:val="00826DF1"/>
    <w:rsid w:val="00830F9D"/>
    <w:rsid w:val="00831A91"/>
    <w:rsid w:val="0083477F"/>
    <w:rsid w:val="00840759"/>
    <w:rsid w:val="00841419"/>
    <w:rsid w:val="00841E4E"/>
    <w:rsid w:val="00842F6D"/>
    <w:rsid w:val="00843B71"/>
    <w:rsid w:val="00844116"/>
    <w:rsid w:val="0084562C"/>
    <w:rsid w:val="00845E4D"/>
    <w:rsid w:val="008501A4"/>
    <w:rsid w:val="0085496D"/>
    <w:rsid w:val="00856704"/>
    <w:rsid w:val="0086032F"/>
    <w:rsid w:val="00860382"/>
    <w:rsid w:val="008615C7"/>
    <w:rsid w:val="00861B25"/>
    <w:rsid w:val="0086273C"/>
    <w:rsid w:val="00862A07"/>
    <w:rsid w:val="008641B4"/>
    <w:rsid w:val="00864C72"/>
    <w:rsid w:val="00866BFA"/>
    <w:rsid w:val="00871BA6"/>
    <w:rsid w:val="00872A58"/>
    <w:rsid w:val="00875062"/>
    <w:rsid w:val="00875146"/>
    <w:rsid w:val="00875165"/>
    <w:rsid w:val="0087614A"/>
    <w:rsid w:val="00876934"/>
    <w:rsid w:val="00882F74"/>
    <w:rsid w:val="008838C9"/>
    <w:rsid w:val="00885C87"/>
    <w:rsid w:val="00886058"/>
    <w:rsid w:val="0088642A"/>
    <w:rsid w:val="00886FF0"/>
    <w:rsid w:val="008902E5"/>
    <w:rsid w:val="00890DB8"/>
    <w:rsid w:val="00892035"/>
    <w:rsid w:val="00892318"/>
    <w:rsid w:val="00893EA8"/>
    <w:rsid w:val="008941A9"/>
    <w:rsid w:val="008955B3"/>
    <w:rsid w:val="008967C3"/>
    <w:rsid w:val="00896AF2"/>
    <w:rsid w:val="008A2753"/>
    <w:rsid w:val="008A514D"/>
    <w:rsid w:val="008A534A"/>
    <w:rsid w:val="008B2531"/>
    <w:rsid w:val="008B3541"/>
    <w:rsid w:val="008B3D51"/>
    <w:rsid w:val="008C0DEE"/>
    <w:rsid w:val="008C16F7"/>
    <w:rsid w:val="008C2C4E"/>
    <w:rsid w:val="008C57A9"/>
    <w:rsid w:val="008C6590"/>
    <w:rsid w:val="008C6661"/>
    <w:rsid w:val="008C680D"/>
    <w:rsid w:val="008D3379"/>
    <w:rsid w:val="008D3448"/>
    <w:rsid w:val="008D55D8"/>
    <w:rsid w:val="008D61A0"/>
    <w:rsid w:val="008D663F"/>
    <w:rsid w:val="008D67F2"/>
    <w:rsid w:val="008D6DEE"/>
    <w:rsid w:val="008D7BE5"/>
    <w:rsid w:val="008E193A"/>
    <w:rsid w:val="008E525F"/>
    <w:rsid w:val="008E63FE"/>
    <w:rsid w:val="008E7BA3"/>
    <w:rsid w:val="008F0328"/>
    <w:rsid w:val="008F46CF"/>
    <w:rsid w:val="008F572D"/>
    <w:rsid w:val="008F729A"/>
    <w:rsid w:val="008F7669"/>
    <w:rsid w:val="0090492D"/>
    <w:rsid w:val="0090564B"/>
    <w:rsid w:val="009069AE"/>
    <w:rsid w:val="009101C4"/>
    <w:rsid w:val="009163FC"/>
    <w:rsid w:val="00916707"/>
    <w:rsid w:val="00916BEA"/>
    <w:rsid w:val="009172FC"/>
    <w:rsid w:val="00920690"/>
    <w:rsid w:val="0092178C"/>
    <w:rsid w:val="0092402C"/>
    <w:rsid w:val="00927259"/>
    <w:rsid w:val="00930471"/>
    <w:rsid w:val="009308F8"/>
    <w:rsid w:val="00931CFE"/>
    <w:rsid w:val="00932E7E"/>
    <w:rsid w:val="00935AED"/>
    <w:rsid w:val="00937891"/>
    <w:rsid w:val="009414B2"/>
    <w:rsid w:val="0094173A"/>
    <w:rsid w:val="00941AD5"/>
    <w:rsid w:val="009450CE"/>
    <w:rsid w:val="00954E6D"/>
    <w:rsid w:val="00963CC6"/>
    <w:rsid w:val="00963CEE"/>
    <w:rsid w:val="00964FF6"/>
    <w:rsid w:val="00965365"/>
    <w:rsid w:val="009657CA"/>
    <w:rsid w:val="00967BA4"/>
    <w:rsid w:val="00967D7D"/>
    <w:rsid w:val="0097166A"/>
    <w:rsid w:val="009726E0"/>
    <w:rsid w:val="00972F0C"/>
    <w:rsid w:val="00973635"/>
    <w:rsid w:val="0098071D"/>
    <w:rsid w:val="00981C64"/>
    <w:rsid w:val="009842CB"/>
    <w:rsid w:val="00987A82"/>
    <w:rsid w:val="00991152"/>
    <w:rsid w:val="00991E8D"/>
    <w:rsid w:val="00992C22"/>
    <w:rsid w:val="009944F2"/>
    <w:rsid w:val="009A027A"/>
    <w:rsid w:val="009A050A"/>
    <w:rsid w:val="009A0A5C"/>
    <w:rsid w:val="009A29F7"/>
    <w:rsid w:val="009A47BD"/>
    <w:rsid w:val="009A77AC"/>
    <w:rsid w:val="009B058C"/>
    <w:rsid w:val="009B0E34"/>
    <w:rsid w:val="009B12C8"/>
    <w:rsid w:val="009B137A"/>
    <w:rsid w:val="009B13B1"/>
    <w:rsid w:val="009B22D7"/>
    <w:rsid w:val="009B30EB"/>
    <w:rsid w:val="009B3821"/>
    <w:rsid w:val="009B782C"/>
    <w:rsid w:val="009C11B6"/>
    <w:rsid w:val="009C2FED"/>
    <w:rsid w:val="009C342B"/>
    <w:rsid w:val="009C3659"/>
    <w:rsid w:val="009C5925"/>
    <w:rsid w:val="009C620B"/>
    <w:rsid w:val="009C71B8"/>
    <w:rsid w:val="009C7A49"/>
    <w:rsid w:val="009D3E87"/>
    <w:rsid w:val="009D3F5D"/>
    <w:rsid w:val="009D7369"/>
    <w:rsid w:val="009F0594"/>
    <w:rsid w:val="009F12F3"/>
    <w:rsid w:val="009F228A"/>
    <w:rsid w:val="009F236A"/>
    <w:rsid w:val="009F2E71"/>
    <w:rsid w:val="009F31A7"/>
    <w:rsid w:val="009F5434"/>
    <w:rsid w:val="009F5C1E"/>
    <w:rsid w:val="009F646C"/>
    <w:rsid w:val="00A00A42"/>
    <w:rsid w:val="00A00AE5"/>
    <w:rsid w:val="00A017F3"/>
    <w:rsid w:val="00A039DD"/>
    <w:rsid w:val="00A04A02"/>
    <w:rsid w:val="00A05AD3"/>
    <w:rsid w:val="00A06133"/>
    <w:rsid w:val="00A10C47"/>
    <w:rsid w:val="00A13B8E"/>
    <w:rsid w:val="00A17DC4"/>
    <w:rsid w:val="00A22248"/>
    <w:rsid w:val="00A228E8"/>
    <w:rsid w:val="00A267CC"/>
    <w:rsid w:val="00A33C85"/>
    <w:rsid w:val="00A3416E"/>
    <w:rsid w:val="00A346FA"/>
    <w:rsid w:val="00A34F10"/>
    <w:rsid w:val="00A374B3"/>
    <w:rsid w:val="00A40C2B"/>
    <w:rsid w:val="00A41AD3"/>
    <w:rsid w:val="00A50A38"/>
    <w:rsid w:val="00A512FF"/>
    <w:rsid w:val="00A53A3A"/>
    <w:rsid w:val="00A5416F"/>
    <w:rsid w:val="00A5438B"/>
    <w:rsid w:val="00A55770"/>
    <w:rsid w:val="00A5579F"/>
    <w:rsid w:val="00A572BB"/>
    <w:rsid w:val="00A602AF"/>
    <w:rsid w:val="00A60A87"/>
    <w:rsid w:val="00A62924"/>
    <w:rsid w:val="00A650F9"/>
    <w:rsid w:val="00A67531"/>
    <w:rsid w:val="00A7073F"/>
    <w:rsid w:val="00A72728"/>
    <w:rsid w:val="00A731CC"/>
    <w:rsid w:val="00A75872"/>
    <w:rsid w:val="00A7635D"/>
    <w:rsid w:val="00A76B7F"/>
    <w:rsid w:val="00A7775E"/>
    <w:rsid w:val="00A813EC"/>
    <w:rsid w:val="00A83756"/>
    <w:rsid w:val="00A85F85"/>
    <w:rsid w:val="00A91384"/>
    <w:rsid w:val="00A913C4"/>
    <w:rsid w:val="00A91A5F"/>
    <w:rsid w:val="00A92F81"/>
    <w:rsid w:val="00A93C0A"/>
    <w:rsid w:val="00A958B8"/>
    <w:rsid w:val="00A95C6B"/>
    <w:rsid w:val="00AA1E46"/>
    <w:rsid w:val="00AA323F"/>
    <w:rsid w:val="00AA462E"/>
    <w:rsid w:val="00AB14F8"/>
    <w:rsid w:val="00AB2725"/>
    <w:rsid w:val="00AB3148"/>
    <w:rsid w:val="00AB34E8"/>
    <w:rsid w:val="00AB376B"/>
    <w:rsid w:val="00AB5230"/>
    <w:rsid w:val="00AB537F"/>
    <w:rsid w:val="00AC0796"/>
    <w:rsid w:val="00AC0D9B"/>
    <w:rsid w:val="00AC1081"/>
    <w:rsid w:val="00AC13D1"/>
    <w:rsid w:val="00AC184E"/>
    <w:rsid w:val="00AC28C5"/>
    <w:rsid w:val="00AC3246"/>
    <w:rsid w:val="00AC47EC"/>
    <w:rsid w:val="00AC55B0"/>
    <w:rsid w:val="00AC6D08"/>
    <w:rsid w:val="00AC7207"/>
    <w:rsid w:val="00AD04F4"/>
    <w:rsid w:val="00AD266A"/>
    <w:rsid w:val="00AD28C4"/>
    <w:rsid w:val="00AD405C"/>
    <w:rsid w:val="00AD41B7"/>
    <w:rsid w:val="00AD4443"/>
    <w:rsid w:val="00AD56C8"/>
    <w:rsid w:val="00AD657A"/>
    <w:rsid w:val="00AD755B"/>
    <w:rsid w:val="00AE14BD"/>
    <w:rsid w:val="00AE2921"/>
    <w:rsid w:val="00AE3C79"/>
    <w:rsid w:val="00AE5083"/>
    <w:rsid w:val="00AE7677"/>
    <w:rsid w:val="00AE7DBB"/>
    <w:rsid w:val="00AF0F44"/>
    <w:rsid w:val="00AF1466"/>
    <w:rsid w:val="00B010A8"/>
    <w:rsid w:val="00B0254F"/>
    <w:rsid w:val="00B03A00"/>
    <w:rsid w:val="00B04C36"/>
    <w:rsid w:val="00B07C26"/>
    <w:rsid w:val="00B10F91"/>
    <w:rsid w:val="00B111D3"/>
    <w:rsid w:val="00B11B06"/>
    <w:rsid w:val="00B11F12"/>
    <w:rsid w:val="00B12BFE"/>
    <w:rsid w:val="00B162A6"/>
    <w:rsid w:val="00B170E2"/>
    <w:rsid w:val="00B22C2E"/>
    <w:rsid w:val="00B300D5"/>
    <w:rsid w:val="00B33AC9"/>
    <w:rsid w:val="00B34DB3"/>
    <w:rsid w:val="00B37B1A"/>
    <w:rsid w:val="00B42852"/>
    <w:rsid w:val="00B454B4"/>
    <w:rsid w:val="00B45F38"/>
    <w:rsid w:val="00B4615E"/>
    <w:rsid w:val="00B46C36"/>
    <w:rsid w:val="00B51025"/>
    <w:rsid w:val="00B51F59"/>
    <w:rsid w:val="00B52746"/>
    <w:rsid w:val="00B53F21"/>
    <w:rsid w:val="00B60899"/>
    <w:rsid w:val="00B62139"/>
    <w:rsid w:val="00B63054"/>
    <w:rsid w:val="00B70174"/>
    <w:rsid w:val="00B701F1"/>
    <w:rsid w:val="00B715A0"/>
    <w:rsid w:val="00B7214D"/>
    <w:rsid w:val="00B72F25"/>
    <w:rsid w:val="00B73994"/>
    <w:rsid w:val="00B7426D"/>
    <w:rsid w:val="00B747C9"/>
    <w:rsid w:val="00B74822"/>
    <w:rsid w:val="00B771DA"/>
    <w:rsid w:val="00B77AD5"/>
    <w:rsid w:val="00B80143"/>
    <w:rsid w:val="00B8186F"/>
    <w:rsid w:val="00B81917"/>
    <w:rsid w:val="00B81C28"/>
    <w:rsid w:val="00B82C4B"/>
    <w:rsid w:val="00B83576"/>
    <w:rsid w:val="00B84162"/>
    <w:rsid w:val="00B8422B"/>
    <w:rsid w:val="00B87DC7"/>
    <w:rsid w:val="00B900D2"/>
    <w:rsid w:val="00B90728"/>
    <w:rsid w:val="00B91C1F"/>
    <w:rsid w:val="00B92FE6"/>
    <w:rsid w:val="00BA4715"/>
    <w:rsid w:val="00BA4943"/>
    <w:rsid w:val="00BA5AE9"/>
    <w:rsid w:val="00BA62D8"/>
    <w:rsid w:val="00BB0079"/>
    <w:rsid w:val="00BB31E6"/>
    <w:rsid w:val="00BB4636"/>
    <w:rsid w:val="00BB55CF"/>
    <w:rsid w:val="00BB5E1F"/>
    <w:rsid w:val="00BC1478"/>
    <w:rsid w:val="00BC1A88"/>
    <w:rsid w:val="00BC4C93"/>
    <w:rsid w:val="00BC5F25"/>
    <w:rsid w:val="00BC6065"/>
    <w:rsid w:val="00BC634E"/>
    <w:rsid w:val="00BD0839"/>
    <w:rsid w:val="00BD2B29"/>
    <w:rsid w:val="00BD428C"/>
    <w:rsid w:val="00BD60E9"/>
    <w:rsid w:val="00BD66F9"/>
    <w:rsid w:val="00BD74AE"/>
    <w:rsid w:val="00BD7B18"/>
    <w:rsid w:val="00BD7C54"/>
    <w:rsid w:val="00BD7CAB"/>
    <w:rsid w:val="00BE1179"/>
    <w:rsid w:val="00BE16D4"/>
    <w:rsid w:val="00BE202E"/>
    <w:rsid w:val="00BE30CB"/>
    <w:rsid w:val="00BE726E"/>
    <w:rsid w:val="00BF05E4"/>
    <w:rsid w:val="00BF0823"/>
    <w:rsid w:val="00BF1511"/>
    <w:rsid w:val="00BF1E62"/>
    <w:rsid w:val="00BF2724"/>
    <w:rsid w:val="00BF6708"/>
    <w:rsid w:val="00C044FF"/>
    <w:rsid w:val="00C068F3"/>
    <w:rsid w:val="00C06A4B"/>
    <w:rsid w:val="00C07698"/>
    <w:rsid w:val="00C0771A"/>
    <w:rsid w:val="00C1603A"/>
    <w:rsid w:val="00C16D35"/>
    <w:rsid w:val="00C175F6"/>
    <w:rsid w:val="00C20275"/>
    <w:rsid w:val="00C20EEB"/>
    <w:rsid w:val="00C24D5B"/>
    <w:rsid w:val="00C25BF7"/>
    <w:rsid w:val="00C30C23"/>
    <w:rsid w:val="00C31189"/>
    <w:rsid w:val="00C32C9B"/>
    <w:rsid w:val="00C33407"/>
    <w:rsid w:val="00C34F14"/>
    <w:rsid w:val="00C352F5"/>
    <w:rsid w:val="00C360B7"/>
    <w:rsid w:val="00C3735C"/>
    <w:rsid w:val="00C41BC0"/>
    <w:rsid w:val="00C426FB"/>
    <w:rsid w:val="00C45EC6"/>
    <w:rsid w:val="00C4720B"/>
    <w:rsid w:val="00C47440"/>
    <w:rsid w:val="00C503D9"/>
    <w:rsid w:val="00C52B81"/>
    <w:rsid w:val="00C53B18"/>
    <w:rsid w:val="00C543AB"/>
    <w:rsid w:val="00C57D25"/>
    <w:rsid w:val="00C600C1"/>
    <w:rsid w:val="00C60A87"/>
    <w:rsid w:val="00C640B1"/>
    <w:rsid w:val="00C64E82"/>
    <w:rsid w:val="00C67662"/>
    <w:rsid w:val="00C741B0"/>
    <w:rsid w:val="00C7624B"/>
    <w:rsid w:val="00C826FF"/>
    <w:rsid w:val="00C842BD"/>
    <w:rsid w:val="00C852A7"/>
    <w:rsid w:val="00C876D0"/>
    <w:rsid w:val="00C87BB7"/>
    <w:rsid w:val="00C87C39"/>
    <w:rsid w:val="00C91FF8"/>
    <w:rsid w:val="00C93496"/>
    <w:rsid w:val="00C94394"/>
    <w:rsid w:val="00C957FF"/>
    <w:rsid w:val="00C97535"/>
    <w:rsid w:val="00C97A93"/>
    <w:rsid w:val="00CA043C"/>
    <w:rsid w:val="00CA0E6B"/>
    <w:rsid w:val="00CA1062"/>
    <w:rsid w:val="00CA262F"/>
    <w:rsid w:val="00CA3854"/>
    <w:rsid w:val="00CA52E8"/>
    <w:rsid w:val="00CA5C69"/>
    <w:rsid w:val="00CB1B9C"/>
    <w:rsid w:val="00CB42AA"/>
    <w:rsid w:val="00CB4307"/>
    <w:rsid w:val="00CB58F1"/>
    <w:rsid w:val="00CB5C45"/>
    <w:rsid w:val="00CB5C95"/>
    <w:rsid w:val="00CB6CF4"/>
    <w:rsid w:val="00CB7E52"/>
    <w:rsid w:val="00CC4825"/>
    <w:rsid w:val="00CD06A1"/>
    <w:rsid w:val="00CD27EC"/>
    <w:rsid w:val="00CD4AF7"/>
    <w:rsid w:val="00CD4D12"/>
    <w:rsid w:val="00CD6230"/>
    <w:rsid w:val="00CD79C7"/>
    <w:rsid w:val="00CE065A"/>
    <w:rsid w:val="00CE1E1D"/>
    <w:rsid w:val="00CE2B6F"/>
    <w:rsid w:val="00CE2C86"/>
    <w:rsid w:val="00CE3885"/>
    <w:rsid w:val="00CE51F9"/>
    <w:rsid w:val="00CF037B"/>
    <w:rsid w:val="00CF2B35"/>
    <w:rsid w:val="00CF370E"/>
    <w:rsid w:val="00CF3715"/>
    <w:rsid w:val="00CF380A"/>
    <w:rsid w:val="00CF6A32"/>
    <w:rsid w:val="00D0154F"/>
    <w:rsid w:val="00D030D0"/>
    <w:rsid w:val="00D05AC6"/>
    <w:rsid w:val="00D15476"/>
    <w:rsid w:val="00D172D8"/>
    <w:rsid w:val="00D21665"/>
    <w:rsid w:val="00D2178B"/>
    <w:rsid w:val="00D24231"/>
    <w:rsid w:val="00D24381"/>
    <w:rsid w:val="00D245FB"/>
    <w:rsid w:val="00D248B6"/>
    <w:rsid w:val="00D25EB8"/>
    <w:rsid w:val="00D27222"/>
    <w:rsid w:val="00D307A1"/>
    <w:rsid w:val="00D31847"/>
    <w:rsid w:val="00D31F8A"/>
    <w:rsid w:val="00D33012"/>
    <w:rsid w:val="00D333E9"/>
    <w:rsid w:val="00D3347E"/>
    <w:rsid w:val="00D3359C"/>
    <w:rsid w:val="00D33D85"/>
    <w:rsid w:val="00D346A8"/>
    <w:rsid w:val="00D3571C"/>
    <w:rsid w:val="00D379DC"/>
    <w:rsid w:val="00D413DB"/>
    <w:rsid w:val="00D46DCE"/>
    <w:rsid w:val="00D50CB8"/>
    <w:rsid w:val="00D51164"/>
    <w:rsid w:val="00D53185"/>
    <w:rsid w:val="00D539CE"/>
    <w:rsid w:val="00D53D6D"/>
    <w:rsid w:val="00D53DEE"/>
    <w:rsid w:val="00D542FE"/>
    <w:rsid w:val="00D62ED4"/>
    <w:rsid w:val="00D63415"/>
    <w:rsid w:val="00D63D4B"/>
    <w:rsid w:val="00D64495"/>
    <w:rsid w:val="00D67E1C"/>
    <w:rsid w:val="00D71538"/>
    <w:rsid w:val="00D72291"/>
    <w:rsid w:val="00D756C3"/>
    <w:rsid w:val="00D760DD"/>
    <w:rsid w:val="00D77CFA"/>
    <w:rsid w:val="00D82A67"/>
    <w:rsid w:val="00D8515B"/>
    <w:rsid w:val="00D86B76"/>
    <w:rsid w:val="00D87677"/>
    <w:rsid w:val="00D9015D"/>
    <w:rsid w:val="00D930D8"/>
    <w:rsid w:val="00D952C5"/>
    <w:rsid w:val="00D967A3"/>
    <w:rsid w:val="00D96D0A"/>
    <w:rsid w:val="00DA138E"/>
    <w:rsid w:val="00DA190F"/>
    <w:rsid w:val="00DA2674"/>
    <w:rsid w:val="00DA268B"/>
    <w:rsid w:val="00DA2A46"/>
    <w:rsid w:val="00DA5D93"/>
    <w:rsid w:val="00DB0EA5"/>
    <w:rsid w:val="00DB44ED"/>
    <w:rsid w:val="00DB4E58"/>
    <w:rsid w:val="00DB5FD3"/>
    <w:rsid w:val="00DB6F66"/>
    <w:rsid w:val="00DB7AD7"/>
    <w:rsid w:val="00DC1A15"/>
    <w:rsid w:val="00DC2C94"/>
    <w:rsid w:val="00DC2E4F"/>
    <w:rsid w:val="00DC3CF8"/>
    <w:rsid w:val="00DC4B8F"/>
    <w:rsid w:val="00DC5F56"/>
    <w:rsid w:val="00DC6126"/>
    <w:rsid w:val="00DC6883"/>
    <w:rsid w:val="00DC759D"/>
    <w:rsid w:val="00DD0320"/>
    <w:rsid w:val="00DD0382"/>
    <w:rsid w:val="00DD368C"/>
    <w:rsid w:val="00DD4330"/>
    <w:rsid w:val="00DD52FF"/>
    <w:rsid w:val="00DD53E3"/>
    <w:rsid w:val="00DE0A46"/>
    <w:rsid w:val="00DE4CFB"/>
    <w:rsid w:val="00DE58C0"/>
    <w:rsid w:val="00DE6E8B"/>
    <w:rsid w:val="00DE7667"/>
    <w:rsid w:val="00DF0A18"/>
    <w:rsid w:val="00DF1214"/>
    <w:rsid w:val="00DF1FDB"/>
    <w:rsid w:val="00DF42BF"/>
    <w:rsid w:val="00DF4532"/>
    <w:rsid w:val="00DF4548"/>
    <w:rsid w:val="00DF4D94"/>
    <w:rsid w:val="00DF55B3"/>
    <w:rsid w:val="00DF6088"/>
    <w:rsid w:val="00DF6393"/>
    <w:rsid w:val="00DF6722"/>
    <w:rsid w:val="00DF67F9"/>
    <w:rsid w:val="00E00BC2"/>
    <w:rsid w:val="00E015BE"/>
    <w:rsid w:val="00E02D86"/>
    <w:rsid w:val="00E0627B"/>
    <w:rsid w:val="00E06A79"/>
    <w:rsid w:val="00E07ED7"/>
    <w:rsid w:val="00E11047"/>
    <w:rsid w:val="00E1175C"/>
    <w:rsid w:val="00E12AF7"/>
    <w:rsid w:val="00E131F9"/>
    <w:rsid w:val="00E14914"/>
    <w:rsid w:val="00E149B7"/>
    <w:rsid w:val="00E159AE"/>
    <w:rsid w:val="00E16680"/>
    <w:rsid w:val="00E16ABF"/>
    <w:rsid w:val="00E170D8"/>
    <w:rsid w:val="00E211FA"/>
    <w:rsid w:val="00E24D8A"/>
    <w:rsid w:val="00E25D42"/>
    <w:rsid w:val="00E26B00"/>
    <w:rsid w:val="00E27746"/>
    <w:rsid w:val="00E30A7F"/>
    <w:rsid w:val="00E349C2"/>
    <w:rsid w:val="00E34C54"/>
    <w:rsid w:val="00E36DCE"/>
    <w:rsid w:val="00E36F03"/>
    <w:rsid w:val="00E3791A"/>
    <w:rsid w:val="00E37974"/>
    <w:rsid w:val="00E41633"/>
    <w:rsid w:val="00E41E97"/>
    <w:rsid w:val="00E45347"/>
    <w:rsid w:val="00E470F2"/>
    <w:rsid w:val="00E52A93"/>
    <w:rsid w:val="00E535DC"/>
    <w:rsid w:val="00E53A3B"/>
    <w:rsid w:val="00E54012"/>
    <w:rsid w:val="00E54778"/>
    <w:rsid w:val="00E5495D"/>
    <w:rsid w:val="00E60275"/>
    <w:rsid w:val="00E60F1F"/>
    <w:rsid w:val="00E63CBA"/>
    <w:rsid w:val="00E723CF"/>
    <w:rsid w:val="00E72691"/>
    <w:rsid w:val="00E73C08"/>
    <w:rsid w:val="00E7489F"/>
    <w:rsid w:val="00E75262"/>
    <w:rsid w:val="00E75AE0"/>
    <w:rsid w:val="00E83D95"/>
    <w:rsid w:val="00E843BE"/>
    <w:rsid w:val="00E86671"/>
    <w:rsid w:val="00E8798A"/>
    <w:rsid w:val="00E91AD2"/>
    <w:rsid w:val="00E9311A"/>
    <w:rsid w:val="00E9336C"/>
    <w:rsid w:val="00E950A0"/>
    <w:rsid w:val="00E95334"/>
    <w:rsid w:val="00EA2680"/>
    <w:rsid w:val="00EA4498"/>
    <w:rsid w:val="00EA6C52"/>
    <w:rsid w:val="00EA6FC1"/>
    <w:rsid w:val="00EB0574"/>
    <w:rsid w:val="00EB2875"/>
    <w:rsid w:val="00EB43A3"/>
    <w:rsid w:val="00EB5E29"/>
    <w:rsid w:val="00EB678D"/>
    <w:rsid w:val="00EB6DBE"/>
    <w:rsid w:val="00EB73F8"/>
    <w:rsid w:val="00EC0C6C"/>
    <w:rsid w:val="00EC255D"/>
    <w:rsid w:val="00EC4356"/>
    <w:rsid w:val="00EC528A"/>
    <w:rsid w:val="00EC555F"/>
    <w:rsid w:val="00EC59AF"/>
    <w:rsid w:val="00EC6C5C"/>
    <w:rsid w:val="00ED16D9"/>
    <w:rsid w:val="00ED3E7F"/>
    <w:rsid w:val="00ED3F8D"/>
    <w:rsid w:val="00ED412D"/>
    <w:rsid w:val="00ED556B"/>
    <w:rsid w:val="00EE0CE0"/>
    <w:rsid w:val="00EE480A"/>
    <w:rsid w:val="00EE54C7"/>
    <w:rsid w:val="00EE57EC"/>
    <w:rsid w:val="00EE59AB"/>
    <w:rsid w:val="00EE6A61"/>
    <w:rsid w:val="00EE70EC"/>
    <w:rsid w:val="00EF0769"/>
    <w:rsid w:val="00EF3584"/>
    <w:rsid w:val="00EF7580"/>
    <w:rsid w:val="00F00C34"/>
    <w:rsid w:val="00F00E4A"/>
    <w:rsid w:val="00F03B88"/>
    <w:rsid w:val="00F04CB6"/>
    <w:rsid w:val="00F0622C"/>
    <w:rsid w:val="00F0774B"/>
    <w:rsid w:val="00F1080F"/>
    <w:rsid w:val="00F15B3E"/>
    <w:rsid w:val="00F17350"/>
    <w:rsid w:val="00F17F9C"/>
    <w:rsid w:val="00F21A5B"/>
    <w:rsid w:val="00F23D12"/>
    <w:rsid w:val="00F2476D"/>
    <w:rsid w:val="00F279FC"/>
    <w:rsid w:val="00F30FAA"/>
    <w:rsid w:val="00F34715"/>
    <w:rsid w:val="00F34A18"/>
    <w:rsid w:val="00F34DDE"/>
    <w:rsid w:val="00F36A7C"/>
    <w:rsid w:val="00F37325"/>
    <w:rsid w:val="00F37DA9"/>
    <w:rsid w:val="00F416DA"/>
    <w:rsid w:val="00F45F62"/>
    <w:rsid w:val="00F47FCB"/>
    <w:rsid w:val="00F5257E"/>
    <w:rsid w:val="00F5449A"/>
    <w:rsid w:val="00F5675D"/>
    <w:rsid w:val="00F606F7"/>
    <w:rsid w:val="00F6434C"/>
    <w:rsid w:val="00F65A9C"/>
    <w:rsid w:val="00F65D81"/>
    <w:rsid w:val="00F6654C"/>
    <w:rsid w:val="00F72A9F"/>
    <w:rsid w:val="00F75ACA"/>
    <w:rsid w:val="00F75B79"/>
    <w:rsid w:val="00F76E41"/>
    <w:rsid w:val="00F7711F"/>
    <w:rsid w:val="00F80740"/>
    <w:rsid w:val="00F81FD6"/>
    <w:rsid w:val="00F86559"/>
    <w:rsid w:val="00F877C2"/>
    <w:rsid w:val="00F91891"/>
    <w:rsid w:val="00F91A20"/>
    <w:rsid w:val="00F923E2"/>
    <w:rsid w:val="00F96CD3"/>
    <w:rsid w:val="00FA300D"/>
    <w:rsid w:val="00FA473B"/>
    <w:rsid w:val="00FA4BC8"/>
    <w:rsid w:val="00FA534F"/>
    <w:rsid w:val="00FB28FC"/>
    <w:rsid w:val="00FB3023"/>
    <w:rsid w:val="00FB32D8"/>
    <w:rsid w:val="00FB387E"/>
    <w:rsid w:val="00FB6858"/>
    <w:rsid w:val="00FB69A6"/>
    <w:rsid w:val="00FC3523"/>
    <w:rsid w:val="00FC3E55"/>
    <w:rsid w:val="00FC40B0"/>
    <w:rsid w:val="00FC6502"/>
    <w:rsid w:val="00FC674A"/>
    <w:rsid w:val="00FC7EE9"/>
    <w:rsid w:val="00FD108F"/>
    <w:rsid w:val="00FD1ABE"/>
    <w:rsid w:val="00FD252E"/>
    <w:rsid w:val="00FD26E6"/>
    <w:rsid w:val="00FD2FC4"/>
    <w:rsid w:val="00FD432D"/>
    <w:rsid w:val="00FD482B"/>
    <w:rsid w:val="00FD6A00"/>
    <w:rsid w:val="00FE0124"/>
    <w:rsid w:val="00FE3CC4"/>
    <w:rsid w:val="00FF05D4"/>
    <w:rsid w:val="00FF5373"/>
    <w:rsid w:val="00FF6439"/>
    <w:rsid w:val="00FF6634"/>
    <w:rsid w:val="00FF68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9C260"/>
  <w15:chartTrackingRefBased/>
  <w15:docId w15:val="{D6A306F7-E886-4B34-AFDE-B32C3257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89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21A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6B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93496"/>
    <w:pPr>
      <w:keepNext/>
      <w:keepLines/>
      <w:spacing w:before="40" w:after="0" w:line="259" w:lineRule="auto"/>
      <w:ind w:left="720" w:hanging="720"/>
      <w:outlineLvl w:val="2"/>
    </w:pPr>
    <w:rPr>
      <w:rFonts w:asciiTheme="majorHAnsi" w:eastAsiaTheme="majorEastAsia" w:hAnsiTheme="majorHAnsi" w:cstheme="majorBidi"/>
      <w:color w:val="1F4D78" w:themeColor="accent1" w:themeShade="7F"/>
      <w:sz w:val="24"/>
      <w:szCs w:val="24"/>
      <w:lang w:val="fr-CH"/>
    </w:rPr>
  </w:style>
  <w:style w:type="paragraph" w:styleId="Heading4">
    <w:name w:val="heading 4"/>
    <w:basedOn w:val="Normal"/>
    <w:next w:val="Normal"/>
    <w:link w:val="Heading4Char"/>
    <w:uiPriority w:val="9"/>
    <w:semiHidden/>
    <w:unhideWhenUsed/>
    <w:qFormat/>
    <w:rsid w:val="00C93496"/>
    <w:pPr>
      <w:keepNext/>
      <w:keepLines/>
      <w:spacing w:before="40" w:after="0" w:line="259" w:lineRule="auto"/>
      <w:ind w:left="864" w:hanging="864"/>
      <w:outlineLvl w:val="3"/>
    </w:pPr>
    <w:rPr>
      <w:rFonts w:asciiTheme="majorHAnsi" w:eastAsiaTheme="majorEastAsia" w:hAnsiTheme="majorHAnsi" w:cstheme="majorBidi"/>
      <w:i/>
      <w:iCs/>
      <w:color w:val="2E74B5" w:themeColor="accent1" w:themeShade="BF"/>
      <w:sz w:val="24"/>
      <w:lang w:val="fr-CH"/>
    </w:rPr>
  </w:style>
  <w:style w:type="paragraph" w:styleId="Heading5">
    <w:name w:val="heading 5"/>
    <w:basedOn w:val="Normal"/>
    <w:next w:val="Normal"/>
    <w:link w:val="Heading5Char"/>
    <w:uiPriority w:val="9"/>
    <w:semiHidden/>
    <w:unhideWhenUsed/>
    <w:qFormat/>
    <w:rsid w:val="00C93496"/>
    <w:pPr>
      <w:keepNext/>
      <w:keepLines/>
      <w:spacing w:before="40" w:after="0" w:line="259" w:lineRule="auto"/>
      <w:ind w:left="1008" w:hanging="1008"/>
      <w:outlineLvl w:val="4"/>
    </w:pPr>
    <w:rPr>
      <w:rFonts w:asciiTheme="majorHAnsi" w:eastAsiaTheme="majorEastAsia" w:hAnsiTheme="majorHAnsi" w:cstheme="majorBidi"/>
      <w:color w:val="2E74B5" w:themeColor="accent1" w:themeShade="BF"/>
      <w:sz w:val="24"/>
      <w:lang w:val="fr-CH"/>
    </w:rPr>
  </w:style>
  <w:style w:type="paragraph" w:styleId="Heading6">
    <w:name w:val="heading 6"/>
    <w:basedOn w:val="Normal"/>
    <w:next w:val="Normal"/>
    <w:link w:val="Heading6Char"/>
    <w:uiPriority w:val="9"/>
    <w:semiHidden/>
    <w:unhideWhenUsed/>
    <w:qFormat/>
    <w:rsid w:val="00C93496"/>
    <w:pPr>
      <w:keepNext/>
      <w:keepLines/>
      <w:spacing w:before="40" w:after="0" w:line="259" w:lineRule="auto"/>
      <w:ind w:left="1152" w:hanging="1152"/>
      <w:outlineLvl w:val="5"/>
    </w:pPr>
    <w:rPr>
      <w:rFonts w:asciiTheme="majorHAnsi" w:eastAsiaTheme="majorEastAsia" w:hAnsiTheme="majorHAnsi" w:cstheme="majorBidi"/>
      <w:color w:val="1F4D78" w:themeColor="accent1" w:themeShade="7F"/>
      <w:sz w:val="24"/>
      <w:lang w:val="fr-CH"/>
    </w:rPr>
  </w:style>
  <w:style w:type="paragraph" w:styleId="Heading7">
    <w:name w:val="heading 7"/>
    <w:basedOn w:val="Normal"/>
    <w:next w:val="Normal"/>
    <w:link w:val="Heading7Char"/>
    <w:uiPriority w:val="9"/>
    <w:semiHidden/>
    <w:unhideWhenUsed/>
    <w:qFormat/>
    <w:rsid w:val="00C93496"/>
    <w:pPr>
      <w:keepNext/>
      <w:keepLines/>
      <w:spacing w:before="40" w:after="0" w:line="259" w:lineRule="auto"/>
      <w:ind w:left="1296" w:hanging="1296"/>
      <w:outlineLvl w:val="6"/>
    </w:pPr>
    <w:rPr>
      <w:rFonts w:asciiTheme="majorHAnsi" w:eastAsiaTheme="majorEastAsia" w:hAnsiTheme="majorHAnsi" w:cstheme="majorBidi"/>
      <w:i/>
      <w:iCs/>
      <w:color w:val="1F4D78" w:themeColor="accent1" w:themeShade="7F"/>
      <w:sz w:val="24"/>
      <w:lang w:val="fr-CH"/>
    </w:rPr>
  </w:style>
  <w:style w:type="paragraph" w:styleId="Heading8">
    <w:name w:val="heading 8"/>
    <w:basedOn w:val="Normal"/>
    <w:next w:val="Normal"/>
    <w:link w:val="Heading8Char"/>
    <w:uiPriority w:val="9"/>
    <w:semiHidden/>
    <w:unhideWhenUsed/>
    <w:qFormat/>
    <w:rsid w:val="00C93496"/>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val="fr-CH"/>
    </w:rPr>
  </w:style>
  <w:style w:type="paragraph" w:styleId="Heading9">
    <w:name w:val="heading 9"/>
    <w:basedOn w:val="Normal"/>
    <w:next w:val="Normal"/>
    <w:link w:val="Heading9Char"/>
    <w:uiPriority w:val="9"/>
    <w:semiHidden/>
    <w:unhideWhenUsed/>
    <w:qFormat/>
    <w:rsid w:val="00C93496"/>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E6"/>
    <w:rPr>
      <w:rFonts w:ascii="Calibri" w:eastAsia="Calibri" w:hAnsi="Calibri" w:cs="Times New Roman"/>
    </w:rPr>
  </w:style>
  <w:style w:type="paragraph" w:styleId="Footer">
    <w:name w:val="footer"/>
    <w:basedOn w:val="Normal"/>
    <w:link w:val="FooterChar"/>
    <w:uiPriority w:val="99"/>
    <w:unhideWhenUsed/>
    <w:rsid w:val="00B92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E6"/>
    <w:rPr>
      <w:rFonts w:ascii="Calibri" w:eastAsia="Calibri" w:hAnsi="Calibri" w:cs="Times New Roman"/>
    </w:rPr>
  </w:style>
  <w:style w:type="paragraph" w:styleId="ListParagraph">
    <w:name w:val="List Paragraph"/>
    <w:aliases w:val="Normal 2,List Paragraph (numbered (a)),Citation List,Resume Title,Heading 41,Dot pt,No Spacing1,List Paragraph Char Char Char,Indicator Text,List Paragraph1,Numbered Para 1,List Paragraph12,Bullet Points,MAIN CONTENT,Bullet 1,texte,Bullet"/>
    <w:basedOn w:val="Normal"/>
    <w:link w:val="ListParagraphChar"/>
    <w:uiPriority w:val="34"/>
    <w:qFormat/>
    <w:rsid w:val="00B92FE6"/>
    <w:pPr>
      <w:spacing w:after="0" w:line="240" w:lineRule="auto"/>
      <w:ind w:left="720"/>
      <w:contextualSpacing/>
    </w:pPr>
    <w:rPr>
      <w:rFonts w:ascii="Times New Roman" w:eastAsia="SimSun" w:hAnsi="Times New Roman"/>
      <w:sz w:val="24"/>
      <w:szCs w:val="24"/>
      <w:lang w:val="en-GB" w:eastAsia="zh-CN"/>
    </w:rPr>
  </w:style>
  <w:style w:type="character" w:styleId="Hyperlink">
    <w:name w:val="Hyperlink"/>
    <w:uiPriority w:val="99"/>
    <w:unhideWhenUsed/>
    <w:rsid w:val="00B92FE6"/>
    <w:rPr>
      <w:color w:val="0000FF"/>
      <w:u w:val="single"/>
    </w:rPr>
  </w:style>
  <w:style w:type="character" w:customStyle="1" w:styleId="ListParagraphChar">
    <w:name w:val="List Paragraph Char"/>
    <w:aliases w:val="Normal 2 Char,List Paragraph (numbered (a)) Char,Citation List Char,Resume Title Char,Heading 41 Char,Dot pt Char,No Spacing1 Char,List Paragraph Char Char Char Char,Indicator Text Char,List Paragraph1 Char,Numbered Para 1 Char"/>
    <w:link w:val="ListParagraph"/>
    <w:uiPriority w:val="34"/>
    <w:qFormat/>
    <w:locked/>
    <w:rsid w:val="00B92FE6"/>
    <w:rPr>
      <w:rFonts w:ascii="Times New Roman" w:eastAsia="SimSun" w:hAnsi="Times New Roman" w:cs="Times New Roman"/>
      <w:sz w:val="24"/>
      <w:szCs w:val="24"/>
      <w:lang w:val="en-GB" w:eastAsia="zh-CN"/>
    </w:rPr>
  </w:style>
  <w:style w:type="paragraph" w:styleId="NoSpacing">
    <w:name w:val="No Spacing"/>
    <w:uiPriority w:val="1"/>
    <w:qFormat/>
    <w:rsid w:val="00B92FE6"/>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92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FE6"/>
    <w:rPr>
      <w:rFonts w:ascii="Calibri" w:eastAsia="Calibri" w:hAnsi="Calibri" w:cs="Times New Roman"/>
      <w:sz w:val="20"/>
      <w:szCs w:val="20"/>
    </w:rPr>
  </w:style>
  <w:style w:type="character" w:styleId="FootnoteReference">
    <w:name w:val="footnote reference"/>
    <w:uiPriority w:val="99"/>
    <w:semiHidden/>
    <w:unhideWhenUsed/>
    <w:rsid w:val="00B92FE6"/>
    <w:rPr>
      <w:vertAlign w:val="superscript"/>
    </w:rPr>
  </w:style>
  <w:style w:type="paragraph" w:styleId="CommentText">
    <w:name w:val="annotation text"/>
    <w:basedOn w:val="Normal"/>
    <w:link w:val="CommentTextChar"/>
    <w:uiPriority w:val="99"/>
    <w:unhideWhenUsed/>
    <w:rsid w:val="00B92FE6"/>
    <w:pPr>
      <w:spacing w:line="240" w:lineRule="auto"/>
    </w:pPr>
    <w:rPr>
      <w:sz w:val="20"/>
      <w:szCs w:val="20"/>
      <w:lang w:val="en-GB"/>
    </w:rPr>
  </w:style>
  <w:style w:type="character" w:customStyle="1" w:styleId="CommentTextChar">
    <w:name w:val="Comment Text Char"/>
    <w:basedOn w:val="DefaultParagraphFont"/>
    <w:link w:val="CommentText"/>
    <w:uiPriority w:val="99"/>
    <w:rsid w:val="00B92FE6"/>
    <w:rPr>
      <w:rFonts w:ascii="Calibri" w:eastAsia="Calibri" w:hAnsi="Calibri" w:cs="Times New Roman"/>
      <w:sz w:val="20"/>
      <w:szCs w:val="20"/>
      <w:lang w:val="en-GB"/>
    </w:rPr>
  </w:style>
  <w:style w:type="paragraph" w:styleId="NormalWeb">
    <w:name w:val="Normal (Web)"/>
    <w:basedOn w:val="Normal"/>
    <w:uiPriority w:val="99"/>
    <w:unhideWhenUsed/>
    <w:rsid w:val="00B92FE6"/>
    <w:pPr>
      <w:spacing w:before="100" w:beforeAutospacing="1" w:after="100" w:afterAutospacing="1" w:line="240" w:lineRule="auto"/>
    </w:pPr>
    <w:rPr>
      <w:rFonts w:ascii="Times New Roman" w:hAnsi="Times New Roman"/>
      <w:sz w:val="24"/>
      <w:szCs w:val="24"/>
      <w:lang w:val="sv-SE" w:eastAsia="sv-SE"/>
    </w:rPr>
  </w:style>
  <w:style w:type="paragraph" w:customStyle="1" w:styleId="Default">
    <w:name w:val="Default"/>
    <w:link w:val="LeiptekstiChar"/>
    <w:rsid w:val="00B92FE6"/>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normalchar1">
    <w:name w:val="normal__char1"/>
    <w:uiPriority w:val="99"/>
    <w:rsid w:val="00B92FE6"/>
    <w:rPr>
      <w:rFonts w:ascii="Calibri" w:hAnsi="Calibri" w:cs="Calibri"/>
      <w:sz w:val="22"/>
      <w:szCs w:val="22"/>
    </w:rPr>
  </w:style>
  <w:style w:type="character" w:customStyle="1" w:styleId="LeiptekstiChar">
    <w:name w:val="Leipäteksti Char"/>
    <w:link w:val="Default"/>
    <w:rsid w:val="00B92FE6"/>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F21A5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8615C7"/>
    <w:pPr>
      <w:widowControl w:val="0"/>
      <w:autoSpaceDE w:val="0"/>
      <w:autoSpaceDN w:val="0"/>
      <w:spacing w:after="0" w:line="240" w:lineRule="auto"/>
    </w:pPr>
    <w:rPr>
      <w:rFonts w:ascii="Trebuchet MS" w:eastAsia="Trebuchet MS" w:hAnsi="Trebuchet MS" w:cs="Trebuchet MS"/>
      <w:sz w:val="24"/>
      <w:szCs w:val="24"/>
      <w:lang w:bidi="en-US"/>
    </w:rPr>
  </w:style>
  <w:style w:type="character" w:customStyle="1" w:styleId="BodyTextChar">
    <w:name w:val="Body Text Char"/>
    <w:basedOn w:val="DefaultParagraphFont"/>
    <w:link w:val="BodyText"/>
    <w:uiPriority w:val="1"/>
    <w:qFormat/>
    <w:rsid w:val="008615C7"/>
    <w:rPr>
      <w:rFonts w:ascii="Trebuchet MS" w:eastAsia="Trebuchet MS" w:hAnsi="Trebuchet MS" w:cs="Trebuchet MS"/>
      <w:sz w:val="24"/>
      <w:szCs w:val="24"/>
      <w:lang w:bidi="en-US"/>
    </w:rPr>
  </w:style>
  <w:style w:type="character" w:customStyle="1" w:styleId="Heading2Char">
    <w:name w:val="Heading 2 Char"/>
    <w:basedOn w:val="DefaultParagraphFont"/>
    <w:link w:val="Heading2"/>
    <w:uiPriority w:val="9"/>
    <w:rsid w:val="00866BF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02E1D"/>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02E1D"/>
    <w:rPr>
      <w:rFonts w:ascii="Segoe UI" w:hAnsi="Segoe UI" w:cs="Segoe UI"/>
      <w:sz w:val="18"/>
      <w:szCs w:val="18"/>
    </w:rPr>
  </w:style>
  <w:style w:type="character" w:styleId="CommentReference">
    <w:name w:val="annotation reference"/>
    <w:basedOn w:val="DefaultParagraphFont"/>
    <w:uiPriority w:val="99"/>
    <w:semiHidden/>
    <w:unhideWhenUsed/>
    <w:rsid w:val="00BB4636"/>
    <w:rPr>
      <w:sz w:val="16"/>
      <w:szCs w:val="16"/>
    </w:rPr>
  </w:style>
  <w:style w:type="paragraph" w:styleId="CommentSubject">
    <w:name w:val="annotation subject"/>
    <w:basedOn w:val="CommentText"/>
    <w:next w:val="CommentText"/>
    <w:link w:val="CommentSubjectChar"/>
    <w:uiPriority w:val="99"/>
    <w:semiHidden/>
    <w:unhideWhenUsed/>
    <w:rsid w:val="00BB4636"/>
    <w:rPr>
      <w:b/>
      <w:bCs/>
      <w:lang w:val="en-US"/>
    </w:rPr>
  </w:style>
  <w:style w:type="character" w:customStyle="1" w:styleId="CommentSubjectChar">
    <w:name w:val="Comment Subject Char"/>
    <w:basedOn w:val="CommentTextChar"/>
    <w:link w:val="CommentSubject"/>
    <w:uiPriority w:val="99"/>
    <w:semiHidden/>
    <w:rsid w:val="00BB4636"/>
    <w:rPr>
      <w:rFonts w:ascii="Calibri" w:eastAsia="Calibri" w:hAnsi="Calibri" w:cs="Times New Roman"/>
      <w:b/>
      <w:bCs/>
      <w:sz w:val="20"/>
      <w:szCs w:val="20"/>
      <w:lang w:val="en-GB"/>
    </w:rPr>
  </w:style>
  <w:style w:type="character" w:customStyle="1" w:styleId="None">
    <w:name w:val="None"/>
    <w:rsid w:val="002A16AD"/>
  </w:style>
  <w:style w:type="table" w:styleId="TableGrid">
    <w:name w:val="Table Grid"/>
    <w:basedOn w:val="TableNormal"/>
    <w:uiPriority w:val="39"/>
    <w:rsid w:val="006A2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232291"/>
  </w:style>
  <w:style w:type="paragraph" w:styleId="Revision">
    <w:name w:val="Revision"/>
    <w:hidden/>
    <w:uiPriority w:val="99"/>
    <w:semiHidden/>
    <w:rsid w:val="000600E8"/>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9F236A"/>
    <w:rPr>
      <w:color w:val="605E5C"/>
      <w:shd w:val="clear" w:color="auto" w:fill="E1DFDD"/>
    </w:rPr>
  </w:style>
  <w:style w:type="paragraph" w:styleId="BodyTextIndent">
    <w:name w:val="Body Text Indent"/>
    <w:basedOn w:val="Normal"/>
    <w:link w:val="BodyTextIndentChar"/>
    <w:rsid w:val="0003424C"/>
    <w:pPr>
      <w:spacing w:after="120" w:line="240" w:lineRule="auto"/>
      <w:ind w:left="360"/>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03424C"/>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C93496"/>
    <w:rPr>
      <w:rFonts w:asciiTheme="majorHAnsi" w:eastAsiaTheme="majorEastAsia" w:hAnsiTheme="majorHAnsi" w:cstheme="majorBidi"/>
      <w:color w:val="1F4D78" w:themeColor="accent1" w:themeShade="7F"/>
      <w:sz w:val="24"/>
      <w:szCs w:val="24"/>
      <w:lang w:val="fr-CH"/>
    </w:rPr>
  </w:style>
  <w:style w:type="character" w:customStyle="1" w:styleId="Heading4Char">
    <w:name w:val="Heading 4 Char"/>
    <w:basedOn w:val="DefaultParagraphFont"/>
    <w:link w:val="Heading4"/>
    <w:uiPriority w:val="9"/>
    <w:semiHidden/>
    <w:rsid w:val="00C93496"/>
    <w:rPr>
      <w:rFonts w:asciiTheme="majorHAnsi" w:eastAsiaTheme="majorEastAsia" w:hAnsiTheme="majorHAnsi" w:cstheme="majorBidi"/>
      <w:i/>
      <w:iCs/>
      <w:color w:val="2E74B5" w:themeColor="accent1" w:themeShade="BF"/>
      <w:sz w:val="24"/>
      <w:lang w:val="fr-CH"/>
    </w:rPr>
  </w:style>
  <w:style w:type="character" w:customStyle="1" w:styleId="Heading5Char">
    <w:name w:val="Heading 5 Char"/>
    <w:basedOn w:val="DefaultParagraphFont"/>
    <w:link w:val="Heading5"/>
    <w:uiPriority w:val="9"/>
    <w:semiHidden/>
    <w:rsid w:val="00C93496"/>
    <w:rPr>
      <w:rFonts w:asciiTheme="majorHAnsi" w:eastAsiaTheme="majorEastAsia" w:hAnsiTheme="majorHAnsi" w:cstheme="majorBidi"/>
      <w:color w:val="2E74B5" w:themeColor="accent1" w:themeShade="BF"/>
      <w:sz w:val="24"/>
      <w:lang w:val="fr-CH"/>
    </w:rPr>
  </w:style>
  <w:style w:type="character" w:customStyle="1" w:styleId="Heading6Char">
    <w:name w:val="Heading 6 Char"/>
    <w:basedOn w:val="DefaultParagraphFont"/>
    <w:link w:val="Heading6"/>
    <w:uiPriority w:val="9"/>
    <w:semiHidden/>
    <w:rsid w:val="00C93496"/>
    <w:rPr>
      <w:rFonts w:asciiTheme="majorHAnsi" w:eastAsiaTheme="majorEastAsia" w:hAnsiTheme="majorHAnsi" w:cstheme="majorBidi"/>
      <w:color w:val="1F4D78" w:themeColor="accent1" w:themeShade="7F"/>
      <w:sz w:val="24"/>
      <w:lang w:val="fr-CH"/>
    </w:rPr>
  </w:style>
  <w:style w:type="character" w:customStyle="1" w:styleId="Heading7Char">
    <w:name w:val="Heading 7 Char"/>
    <w:basedOn w:val="DefaultParagraphFont"/>
    <w:link w:val="Heading7"/>
    <w:uiPriority w:val="9"/>
    <w:semiHidden/>
    <w:rsid w:val="00C93496"/>
    <w:rPr>
      <w:rFonts w:asciiTheme="majorHAnsi" w:eastAsiaTheme="majorEastAsia" w:hAnsiTheme="majorHAnsi" w:cstheme="majorBidi"/>
      <w:i/>
      <w:iCs/>
      <w:color w:val="1F4D78" w:themeColor="accent1" w:themeShade="7F"/>
      <w:sz w:val="24"/>
      <w:lang w:val="fr-CH"/>
    </w:rPr>
  </w:style>
  <w:style w:type="character" w:customStyle="1" w:styleId="Heading8Char">
    <w:name w:val="Heading 8 Char"/>
    <w:basedOn w:val="DefaultParagraphFont"/>
    <w:link w:val="Heading8"/>
    <w:uiPriority w:val="9"/>
    <w:semiHidden/>
    <w:rsid w:val="00C93496"/>
    <w:rPr>
      <w:rFonts w:asciiTheme="majorHAnsi" w:eastAsiaTheme="majorEastAsia" w:hAnsiTheme="majorHAnsi" w:cstheme="majorBidi"/>
      <w:color w:val="272727" w:themeColor="text1" w:themeTint="D8"/>
      <w:sz w:val="21"/>
      <w:szCs w:val="21"/>
      <w:lang w:val="fr-CH"/>
    </w:rPr>
  </w:style>
  <w:style w:type="character" w:customStyle="1" w:styleId="Heading9Char">
    <w:name w:val="Heading 9 Char"/>
    <w:basedOn w:val="DefaultParagraphFont"/>
    <w:link w:val="Heading9"/>
    <w:uiPriority w:val="9"/>
    <w:semiHidden/>
    <w:rsid w:val="00C93496"/>
    <w:rPr>
      <w:rFonts w:asciiTheme="majorHAnsi" w:eastAsiaTheme="majorEastAsia" w:hAnsiTheme="majorHAnsi" w:cstheme="majorBidi"/>
      <w:i/>
      <w:iCs/>
      <w:color w:val="272727" w:themeColor="text1" w:themeTint="D8"/>
      <w:sz w:val="21"/>
      <w:szCs w:val="21"/>
      <w:lang w:val="fr-CH"/>
    </w:rPr>
  </w:style>
  <w:style w:type="character" w:customStyle="1" w:styleId="normaltextrun">
    <w:name w:val="normaltextrun"/>
    <w:basedOn w:val="DefaultParagraphFont"/>
    <w:qFormat/>
    <w:rsid w:val="00FD1ABE"/>
  </w:style>
  <w:style w:type="paragraph" w:customStyle="1" w:styleId="whitespace-pre-wrap">
    <w:name w:val="whitespace-pre-wrap"/>
    <w:basedOn w:val="Normal"/>
    <w:rsid w:val="00163434"/>
    <w:pPr>
      <w:spacing w:before="100" w:beforeAutospacing="1" w:after="100" w:afterAutospacing="1" w:line="240" w:lineRule="auto"/>
    </w:pPr>
    <w:rPr>
      <w:rFonts w:ascii="Times New Roman" w:eastAsia="Times New Roman" w:hAnsi="Times New Roman"/>
      <w:sz w:val="24"/>
      <w:szCs w:val="24"/>
    </w:rPr>
  </w:style>
  <w:style w:type="paragraph" w:customStyle="1" w:styleId="whitespace-normal">
    <w:name w:val="whitespace-normal"/>
    <w:basedOn w:val="Normal"/>
    <w:rsid w:val="00163434"/>
    <w:pPr>
      <w:spacing w:before="100" w:beforeAutospacing="1" w:after="100" w:afterAutospacing="1" w:line="240" w:lineRule="auto"/>
    </w:pPr>
    <w:rPr>
      <w:rFonts w:ascii="Times New Roman" w:eastAsia="Times New Roman" w:hAnsi="Times New Roman"/>
      <w:sz w:val="24"/>
      <w:szCs w:val="24"/>
    </w:rPr>
  </w:style>
  <w:style w:type="table" w:customStyle="1" w:styleId="PlainTable21">
    <w:name w:val="Plain Table 21"/>
    <w:basedOn w:val="TableNormal"/>
    <w:uiPriority w:val="42"/>
    <w:qFormat/>
    <w:rsid w:val="00BD7C54"/>
    <w:pPr>
      <w:spacing w:after="0" w:line="240" w:lineRule="auto"/>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D53D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acimagecontainer">
    <w:name w:val="wacimagecontainer"/>
    <w:basedOn w:val="DefaultParagraphFont"/>
    <w:qFormat/>
    <w:rsid w:val="00EA4498"/>
  </w:style>
  <w:style w:type="paragraph" w:customStyle="1" w:styleId="paragraph">
    <w:name w:val="paragraph"/>
    <w:basedOn w:val="Normal"/>
    <w:rsid w:val="00BD2B29"/>
    <w:pPr>
      <w:spacing w:before="100" w:beforeAutospacing="1" w:after="100" w:afterAutospacing="1" w:line="240" w:lineRule="auto"/>
    </w:pPr>
    <w:rPr>
      <w:rFonts w:ascii="Times New Roman" w:eastAsiaTheme="minorEastAsia" w:hAnsi="Times New Roman" w:cstheme="minorBidi"/>
      <w:sz w:val="24"/>
      <w:szCs w:val="24"/>
      <w:lang w:val="en-GB" w:eastAsia="en-GB"/>
    </w:rPr>
  </w:style>
  <w:style w:type="character" w:customStyle="1" w:styleId="eop">
    <w:name w:val="eop"/>
    <w:basedOn w:val="DefaultParagraphFont"/>
    <w:rsid w:val="00BD2B29"/>
  </w:style>
  <w:style w:type="character" w:customStyle="1" w:styleId="scxw63843710">
    <w:name w:val="scxw63843710"/>
    <w:basedOn w:val="DefaultParagraphFont"/>
    <w:rsid w:val="00BD2B29"/>
  </w:style>
  <w:style w:type="character" w:styleId="FollowedHyperlink">
    <w:name w:val="FollowedHyperlink"/>
    <w:basedOn w:val="DefaultParagraphFont"/>
    <w:uiPriority w:val="99"/>
    <w:semiHidden/>
    <w:unhideWhenUsed/>
    <w:rsid w:val="00BD2B29"/>
    <w:rPr>
      <w:color w:val="954F72" w:themeColor="followedHyperlink"/>
      <w:u w:val="single"/>
    </w:rPr>
  </w:style>
  <w:style w:type="character" w:styleId="Strong">
    <w:name w:val="Strong"/>
    <w:basedOn w:val="DefaultParagraphFont"/>
    <w:uiPriority w:val="22"/>
    <w:qFormat/>
    <w:rsid w:val="007F2B63"/>
    <w:rPr>
      <w:b/>
      <w:bCs/>
    </w:rPr>
  </w:style>
  <w:style w:type="paragraph" w:styleId="Title">
    <w:name w:val="Title"/>
    <w:basedOn w:val="Normal"/>
    <w:next w:val="Normal"/>
    <w:link w:val="TitleChar"/>
    <w:uiPriority w:val="10"/>
    <w:qFormat/>
    <w:rsid w:val="009716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166A"/>
    <w:rPr>
      <w:rFonts w:asciiTheme="majorHAnsi" w:eastAsiaTheme="majorEastAsia" w:hAnsiTheme="majorHAnsi" w:cstheme="majorBidi"/>
      <w:spacing w:val="-10"/>
      <w:kern w:val="28"/>
      <w:sz w:val="56"/>
      <w:szCs w:val="56"/>
      <w14:ligatures w14:val="standardContextual"/>
    </w:rPr>
  </w:style>
  <w:style w:type="paragraph" w:customStyle="1" w:styleId="p1">
    <w:name w:val="p1"/>
    <w:basedOn w:val="Normal"/>
    <w:rsid w:val="00AD04F4"/>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pf0">
    <w:name w:val="pf0"/>
    <w:basedOn w:val="Normal"/>
    <w:rsid w:val="001A3B97"/>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1A3B97"/>
    <w:rPr>
      <w:rFonts w:ascii="Segoe UI" w:hAnsi="Segoe UI" w:cs="Segoe UI" w:hint="default"/>
      <w:sz w:val="18"/>
      <w:szCs w:val="18"/>
    </w:rPr>
  </w:style>
  <w:style w:type="character" w:customStyle="1" w:styleId="cf11">
    <w:name w:val="cf11"/>
    <w:basedOn w:val="DefaultParagraphFont"/>
    <w:rsid w:val="001A3B9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9109">
      <w:bodyDiv w:val="1"/>
      <w:marLeft w:val="0"/>
      <w:marRight w:val="0"/>
      <w:marTop w:val="0"/>
      <w:marBottom w:val="0"/>
      <w:divBdr>
        <w:top w:val="none" w:sz="0" w:space="0" w:color="auto"/>
        <w:left w:val="none" w:sz="0" w:space="0" w:color="auto"/>
        <w:bottom w:val="none" w:sz="0" w:space="0" w:color="auto"/>
        <w:right w:val="none" w:sz="0" w:space="0" w:color="auto"/>
      </w:divBdr>
    </w:div>
    <w:div w:id="300578226">
      <w:bodyDiv w:val="1"/>
      <w:marLeft w:val="0"/>
      <w:marRight w:val="0"/>
      <w:marTop w:val="0"/>
      <w:marBottom w:val="0"/>
      <w:divBdr>
        <w:top w:val="none" w:sz="0" w:space="0" w:color="auto"/>
        <w:left w:val="none" w:sz="0" w:space="0" w:color="auto"/>
        <w:bottom w:val="none" w:sz="0" w:space="0" w:color="auto"/>
        <w:right w:val="none" w:sz="0" w:space="0" w:color="auto"/>
      </w:divBdr>
    </w:div>
    <w:div w:id="394545974">
      <w:bodyDiv w:val="1"/>
      <w:marLeft w:val="0"/>
      <w:marRight w:val="0"/>
      <w:marTop w:val="0"/>
      <w:marBottom w:val="0"/>
      <w:divBdr>
        <w:top w:val="none" w:sz="0" w:space="0" w:color="auto"/>
        <w:left w:val="none" w:sz="0" w:space="0" w:color="auto"/>
        <w:bottom w:val="none" w:sz="0" w:space="0" w:color="auto"/>
        <w:right w:val="none" w:sz="0" w:space="0" w:color="auto"/>
      </w:divBdr>
    </w:div>
    <w:div w:id="527761743">
      <w:bodyDiv w:val="1"/>
      <w:marLeft w:val="0"/>
      <w:marRight w:val="0"/>
      <w:marTop w:val="0"/>
      <w:marBottom w:val="0"/>
      <w:divBdr>
        <w:top w:val="none" w:sz="0" w:space="0" w:color="auto"/>
        <w:left w:val="none" w:sz="0" w:space="0" w:color="auto"/>
        <w:bottom w:val="none" w:sz="0" w:space="0" w:color="auto"/>
        <w:right w:val="none" w:sz="0" w:space="0" w:color="auto"/>
      </w:divBdr>
    </w:div>
    <w:div w:id="628516714">
      <w:bodyDiv w:val="1"/>
      <w:marLeft w:val="0"/>
      <w:marRight w:val="0"/>
      <w:marTop w:val="0"/>
      <w:marBottom w:val="0"/>
      <w:divBdr>
        <w:top w:val="none" w:sz="0" w:space="0" w:color="auto"/>
        <w:left w:val="none" w:sz="0" w:space="0" w:color="auto"/>
        <w:bottom w:val="none" w:sz="0" w:space="0" w:color="auto"/>
        <w:right w:val="none" w:sz="0" w:space="0" w:color="auto"/>
      </w:divBdr>
    </w:div>
    <w:div w:id="674112044">
      <w:bodyDiv w:val="1"/>
      <w:marLeft w:val="0"/>
      <w:marRight w:val="0"/>
      <w:marTop w:val="0"/>
      <w:marBottom w:val="0"/>
      <w:divBdr>
        <w:top w:val="none" w:sz="0" w:space="0" w:color="auto"/>
        <w:left w:val="none" w:sz="0" w:space="0" w:color="auto"/>
        <w:bottom w:val="none" w:sz="0" w:space="0" w:color="auto"/>
        <w:right w:val="none" w:sz="0" w:space="0" w:color="auto"/>
      </w:divBdr>
    </w:div>
    <w:div w:id="771391081">
      <w:bodyDiv w:val="1"/>
      <w:marLeft w:val="0"/>
      <w:marRight w:val="0"/>
      <w:marTop w:val="0"/>
      <w:marBottom w:val="0"/>
      <w:divBdr>
        <w:top w:val="none" w:sz="0" w:space="0" w:color="auto"/>
        <w:left w:val="none" w:sz="0" w:space="0" w:color="auto"/>
        <w:bottom w:val="none" w:sz="0" w:space="0" w:color="auto"/>
        <w:right w:val="none" w:sz="0" w:space="0" w:color="auto"/>
      </w:divBdr>
    </w:div>
    <w:div w:id="827987946">
      <w:bodyDiv w:val="1"/>
      <w:marLeft w:val="0"/>
      <w:marRight w:val="0"/>
      <w:marTop w:val="0"/>
      <w:marBottom w:val="0"/>
      <w:divBdr>
        <w:top w:val="none" w:sz="0" w:space="0" w:color="auto"/>
        <w:left w:val="none" w:sz="0" w:space="0" w:color="auto"/>
        <w:bottom w:val="none" w:sz="0" w:space="0" w:color="auto"/>
        <w:right w:val="none" w:sz="0" w:space="0" w:color="auto"/>
      </w:divBdr>
    </w:div>
    <w:div w:id="854342484">
      <w:bodyDiv w:val="1"/>
      <w:marLeft w:val="0"/>
      <w:marRight w:val="0"/>
      <w:marTop w:val="0"/>
      <w:marBottom w:val="0"/>
      <w:divBdr>
        <w:top w:val="none" w:sz="0" w:space="0" w:color="auto"/>
        <w:left w:val="none" w:sz="0" w:space="0" w:color="auto"/>
        <w:bottom w:val="none" w:sz="0" w:space="0" w:color="auto"/>
        <w:right w:val="none" w:sz="0" w:space="0" w:color="auto"/>
      </w:divBdr>
    </w:div>
    <w:div w:id="1171526946">
      <w:bodyDiv w:val="1"/>
      <w:marLeft w:val="0"/>
      <w:marRight w:val="0"/>
      <w:marTop w:val="0"/>
      <w:marBottom w:val="0"/>
      <w:divBdr>
        <w:top w:val="none" w:sz="0" w:space="0" w:color="auto"/>
        <w:left w:val="none" w:sz="0" w:space="0" w:color="auto"/>
        <w:bottom w:val="none" w:sz="0" w:space="0" w:color="auto"/>
        <w:right w:val="none" w:sz="0" w:space="0" w:color="auto"/>
      </w:divBdr>
    </w:div>
    <w:div w:id="1180852953">
      <w:bodyDiv w:val="1"/>
      <w:marLeft w:val="0"/>
      <w:marRight w:val="0"/>
      <w:marTop w:val="0"/>
      <w:marBottom w:val="0"/>
      <w:divBdr>
        <w:top w:val="none" w:sz="0" w:space="0" w:color="auto"/>
        <w:left w:val="none" w:sz="0" w:space="0" w:color="auto"/>
        <w:bottom w:val="none" w:sz="0" w:space="0" w:color="auto"/>
        <w:right w:val="none" w:sz="0" w:space="0" w:color="auto"/>
      </w:divBdr>
    </w:div>
    <w:div w:id="1293514341">
      <w:bodyDiv w:val="1"/>
      <w:marLeft w:val="0"/>
      <w:marRight w:val="0"/>
      <w:marTop w:val="0"/>
      <w:marBottom w:val="0"/>
      <w:divBdr>
        <w:top w:val="none" w:sz="0" w:space="0" w:color="auto"/>
        <w:left w:val="none" w:sz="0" w:space="0" w:color="auto"/>
        <w:bottom w:val="none" w:sz="0" w:space="0" w:color="auto"/>
        <w:right w:val="none" w:sz="0" w:space="0" w:color="auto"/>
      </w:divBdr>
    </w:div>
    <w:div w:id="1585525774">
      <w:bodyDiv w:val="1"/>
      <w:marLeft w:val="0"/>
      <w:marRight w:val="0"/>
      <w:marTop w:val="0"/>
      <w:marBottom w:val="0"/>
      <w:divBdr>
        <w:top w:val="none" w:sz="0" w:space="0" w:color="auto"/>
        <w:left w:val="none" w:sz="0" w:space="0" w:color="auto"/>
        <w:bottom w:val="none" w:sz="0" w:space="0" w:color="auto"/>
        <w:right w:val="none" w:sz="0" w:space="0" w:color="auto"/>
      </w:divBdr>
    </w:div>
    <w:div w:id="1619600969">
      <w:bodyDiv w:val="1"/>
      <w:marLeft w:val="0"/>
      <w:marRight w:val="0"/>
      <w:marTop w:val="0"/>
      <w:marBottom w:val="0"/>
      <w:divBdr>
        <w:top w:val="none" w:sz="0" w:space="0" w:color="auto"/>
        <w:left w:val="none" w:sz="0" w:space="0" w:color="auto"/>
        <w:bottom w:val="none" w:sz="0" w:space="0" w:color="auto"/>
        <w:right w:val="none" w:sz="0" w:space="0" w:color="auto"/>
      </w:divBdr>
    </w:div>
    <w:div w:id="1654142688">
      <w:bodyDiv w:val="1"/>
      <w:marLeft w:val="0"/>
      <w:marRight w:val="0"/>
      <w:marTop w:val="0"/>
      <w:marBottom w:val="0"/>
      <w:divBdr>
        <w:top w:val="none" w:sz="0" w:space="0" w:color="auto"/>
        <w:left w:val="none" w:sz="0" w:space="0" w:color="auto"/>
        <w:bottom w:val="none" w:sz="0" w:space="0" w:color="auto"/>
        <w:right w:val="none" w:sz="0" w:space="0" w:color="auto"/>
      </w:divBdr>
    </w:div>
    <w:div w:id="1874343279">
      <w:bodyDiv w:val="1"/>
      <w:marLeft w:val="0"/>
      <w:marRight w:val="0"/>
      <w:marTop w:val="0"/>
      <w:marBottom w:val="0"/>
      <w:divBdr>
        <w:top w:val="none" w:sz="0" w:space="0" w:color="auto"/>
        <w:left w:val="none" w:sz="0" w:space="0" w:color="auto"/>
        <w:bottom w:val="none" w:sz="0" w:space="0" w:color="auto"/>
        <w:right w:val="none" w:sz="0" w:space="0" w:color="auto"/>
      </w:divBdr>
    </w:div>
    <w:div w:id="1991596887">
      <w:bodyDiv w:val="1"/>
      <w:marLeft w:val="0"/>
      <w:marRight w:val="0"/>
      <w:marTop w:val="0"/>
      <w:marBottom w:val="0"/>
      <w:divBdr>
        <w:top w:val="none" w:sz="0" w:space="0" w:color="auto"/>
        <w:left w:val="none" w:sz="0" w:space="0" w:color="auto"/>
        <w:bottom w:val="none" w:sz="0" w:space="0" w:color="auto"/>
        <w:right w:val="none" w:sz="0" w:space="0" w:color="auto"/>
      </w:divBdr>
    </w:div>
    <w:div w:id="202501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malia.procurement@savethechildre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alia.Tenders@savethechildren.org" TargetMode="External"/><Relationship Id="rId5" Type="http://schemas.openxmlformats.org/officeDocument/2006/relationships/numbering" Target="numbering.xml"/><Relationship Id="rId15" Type="http://schemas.openxmlformats.org/officeDocument/2006/relationships/hyperlink" Target="https://www.contenthubsavethechildren.org/AssetLink/7232150df5di2w8m163s334y22yu75f7.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2E363AAF1A74CB6922B642C169D59" ma:contentTypeVersion="18" ma:contentTypeDescription="Create a new document." ma:contentTypeScope="" ma:versionID="6b312c96b34419034e1fe672dc9466f1">
  <xsd:schema xmlns:xsd="http://www.w3.org/2001/XMLSchema" xmlns:xs="http://www.w3.org/2001/XMLSchema" xmlns:p="http://schemas.microsoft.com/office/2006/metadata/properties" xmlns:ns3="2c418d44-b75c-4b9e-a29f-22dde34c45c1" xmlns:ns4="25c05dcb-91f5-4fad-b83a-156ab5468b87" targetNamespace="http://schemas.microsoft.com/office/2006/metadata/properties" ma:root="true" ma:fieldsID="2193fd162dbf83176f92f70354832d3f" ns3:_="" ns4:_="">
    <xsd:import namespace="2c418d44-b75c-4b9e-a29f-22dde34c45c1"/>
    <xsd:import namespace="25c05dcb-91f5-4fad-b83a-156ab5468b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18d44-b75c-4b9e-a29f-22dde34c45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05dcb-91f5-4fad-b83a-156ab5468b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5c05dcb-91f5-4fad-b83a-156ab5468b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D84D8-2183-4031-98DC-88D7F9E8B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18d44-b75c-4b9e-a29f-22dde34c45c1"/>
    <ds:schemaRef ds:uri="25c05dcb-91f5-4fad-b83a-156ab5468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C8AC5-52F7-48DC-97E6-6B4E8D39180E}">
  <ds:schemaRefs>
    <ds:schemaRef ds:uri="http://schemas.microsoft.com/office/2006/metadata/properties"/>
    <ds:schemaRef ds:uri="http://schemas.microsoft.com/office/infopath/2007/PartnerControls"/>
    <ds:schemaRef ds:uri="25c05dcb-91f5-4fad-b83a-156ab5468b87"/>
  </ds:schemaRefs>
</ds:datastoreItem>
</file>

<file path=customXml/itemProps3.xml><?xml version="1.0" encoding="utf-8"?>
<ds:datastoreItem xmlns:ds="http://schemas.openxmlformats.org/officeDocument/2006/customXml" ds:itemID="{59CD401E-8A73-4C92-BE2A-4AFF271CE61F}">
  <ds:schemaRefs>
    <ds:schemaRef ds:uri="http://schemas.microsoft.com/sharepoint/v3/contenttype/forms"/>
  </ds:schemaRefs>
</ds:datastoreItem>
</file>

<file path=customXml/itemProps4.xml><?xml version="1.0" encoding="utf-8"?>
<ds:datastoreItem xmlns:ds="http://schemas.openxmlformats.org/officeDocument/2006/customXml" ds:itemID="{FF0114C5-D0B1-4F6F-A8D8-23A016EF2BB9}">
  <ds:schemaRefs>
    <ds:schemaRef ds:uri="http://schemas.openxmlformats.org/officeDocument/2006/bibliography"/>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70</TotalTime>
  <Pages>11</Pages>
  <Words>4708</Words>
  <Characters>26841</Characters>
  <Application>Microsoft Office Word</Application>
  <DocSecurity>0</DocSecurity>
  <Lines>223</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31487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Guled Ali, Yusuf</dc:creator>
  <cp:keywords/>
  <dc:description/>
  <cp:lastModifiedBy>Mohamed, Hamsa</cp:lastModifiedBy>
  <cp:revision>51</cp:revision>
  <cp:lastPrinted>2022-08-29T08:52:00Z</cp:lastPrinted>
  <dcterms:created xsi:type="dcterms:W3CDTF">2026-05-21T12:46:00Z</dcterms:created>
  <dcterms:modified xsi:type="dcterms:W3CDTF">2026-05-25T12:43:00Z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0x01010045A2E363AAF1A74CB6922B642C169D59</vt:lpwstr>
  </property>
  <property fmtid="{D5CDD505-2E9C-101B-9397-08002B2CF9AE}" pid="3" name="MSIP_Label_7840c0f8-1866-4162-ad0f-2d70e03cc773_Enabled">
    <vt:lpwstr>True</vt:lpwstr>
  </property>
  <property fmtid="{D5CDD505-2E9C-101B-9397-08002B2CF9AE}" pid="4" name="MSIP_Label_7840c0f8-1866-4162-ad0f-2d70e03cc773_SiteId">
    <vt:lpwstr>b738c0f4-215a-438a-ad8b-3a8b60351c56</vt:lpwstr>
  </property>
  <property fmtid="{D5CDD505-2E9C-101B-9397-08002B2CF9AE}" pid="5" name="MSIP_Label_7840c0f8-1866-4162-ad0f-2d70e03cc773_Owner">
    <vt:lpwstr>raj@redbarnet.dk</vt:lpwstr>
  </property>
  <property fmtid="{D5CDD505-2E9C-101B-9397-08002B2CF9AE}" pid="6" name="MSIP_Label_7840c0f8-1866-4162-ad0f-2d70e03cc773_SetDate">
    <vt:lpwstr>2022-08-01T09:36:00.0317391Z</vt:lpwstr>
  </property>
  <property fmtid="{D5CDD505-2E9C-101B-9397-08002B2CF9AE}" pid="7" name="MSIP_Label_7840c0f8-1866-4162-ad0f-2d70e03cc773_Name">
    <vt:lpwstr>Public - Offentlig</vt:lpwstr>
  </property>
  <property fmtid="{D5CDD505-2E9C-101B-9397-08002B2CF9AE}" pid="8" name="MSIP_Label_7840c0f8-1866-4162-ad0f-2d70e03cc773_Application">
    <vt:lpwstr>Microsoft Azure Information Protection</vt:lpwstr>
  </property>
  <property fmtid="{D5CDD505-2E9C-101B-9397-08002B2CF9AE}" pid="9" name="MSIP_Label_7840c0f8-1866-4162-ad0f-2d70e03cc773_ActionId">
    <vt:lpwstr>bed4ad95-7c3e-44bd-901d-50f6c4e700ce</vt:lpwstr>
  </property>
  <property fmtid="{D5CDD505-2E9C-101B-9397-08002B2CF9AE}" pid="10" name="MSIP_Label_7840c0f8-1866-4162-ad0f-2d70e03cc773_Extended_MSFT_Method">
    <vt:lpwstr>Automatic</vt:lpwstr>
  </property>
</Properties>
</file>