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384B" w14:textId="122A60DB" w:rsidR="001430E3" w:rsidRPr="00556588" w:rsidRDefault="00B60DB0" w:rsidP="00556588">
      <w:pPr>
        <w:pStyle w:val="Heading1"/>
        <w:spacing w:before="0" w:line="240" w:lineRule="auto"/>
        <w:jc w:val="center"/>
        <w:rPr>
          <w:rFonts w:ascii="Arial" w:hAnsi="Arial" w:cs="Arial"/>
          <w:b/>
          <w:bCs/>
          <w:sz w:val="24"/>
          <w:szCs w:val="24"/>
          <w:shd w:val="clear" w:color="auto" w:fill="D9D9D9"/>
        </w:rPr>
      </w:pPr>
      <w:r w:rsidRPr="00556588">
        <w:rPr>
          <w:rFonts w:ascii="Arial" w:hAnsi="Arial" w:cs="Arial"/>
          <w:b/>
          <w:bCs/>
          <w:sz w:val="24"/>
          <w:szCs w:val="24"/>
          <w:shd w:val="clear" w:color="auto" w:fill="D9D9D9"/>
        </w:rPr>
        <w:t>INVITATION TO BID FOR CONSULTANCY</w:t>
      </w:r>
    </w:p>
    <w:p w14:paraId="6BF313FA" w14:textId="77777777" w:rsidR="00EF32D9" w:rsidRPr="00556588" w:rsidRDefault="00EF32D9" w:rsidP="00556588">
      <w:pPr>
        <w:spacing w:line="240" w:lineRule="auto"/>
      </w:pPr>
    </w:p>
    <w:tbl>
      <w:tblPr>
        <w:tblW w:w="10610"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620"/>
        <w:gridCol w:w="3150"/>
        <w:gridCol w:w="4140"/>
        <w:gridCol w:w="2700"/>
      </w:tblGrid>
      <w:tr w:rsidR="00B23602" w:rsidRPr="00EC4C97" w14:paraId="69470FDC" w14:textId="77777777" w:rsidTr="00AF15EB">
        <w:trPr>
          <w:trHeight w:val="853"/>
        </w:trPr>
        <w:tc>
          <w:tcPr>
            <w:tcW w:w="620" w:type="dxa"/>
            <w:shd w:val="clear" w:color="auto" w:fill="F2F2F2"/>
          </w:tcPr>
          <w:p w14:paraId="69470FD9" w14:textId="77777777" w:rsidR="00B23602" w:rsidRPr="00EC4C97" w:rsidRDefault="00B60DB0" w:rsidP="00556588">
            <w:pPr>
              <w:spacing w:line="240" w:lineRule="auto"/>
              <w:rPr>
                <w:rFonts w:ascii="Arial" w:hAnsi="Arial" w:cs="Arial"/>
                <w:color w:val="000000" w:themeColor="text1"/>
              </w:rPr>
            </w:pPr>
            <w:r w:rsidRPr="00EC4C97">
              <w:rPr>
                <w:rFonts w:ascii="Arial" w:hAnsi="Arial" w:cs="Arial"/>
                <w:color w:val="000000" w:themeColor="text1"/>
              </w:rPr>
              <w:t>1</w:t>
            </w:r>
          </w:p>
        </w:tc>
        <w:tc>
          <w:tcPr>
            <w:tcW w:w="3150" w:type="dxa"/>
            <w:shd w:val="clear" w:color="auto" w:fill="F2F2F2"/>
          </w:tcPr>
          <w:p w14:paraId="69470FDA" w14:textId="77777777" w:rsidR="00B23602" w:rsidRPr="00EC4C97" w:rsidRDefault="00B60DB0" w:rsidP="00556588">
            <w:pPr>
              <w:spacing w:line="240" w:lineRule="auto"/>
              <w:rPr>
                <w:rFonts w:ascii="Arial" w:hAnsi="Arial" w:cs="Arial"/>
                <w:b/>
                <w:color w:val="000000" w:themeColor="text1"/>
              </w:rPr>
            </w:pPr>
            <w:r w:rsidRPr="00EC4C97">
              <w:rPr>
                <w:rFonts w:ascii="Arial" w:hAnsi="Arial" w:cs="Arial"/>
                <w:b/>
                <w:color w:val="000000" w:themeColor="text1"/>
              </w:rPr>
              <w:t>Title of Consultancy</w:t>
            </w:r>
          </w:p>
        </w:tc>
        <w:tc>
          <w:tcPr>
            <w:tcW w:w="6840" w:type="dxa"/>
            <w:gridSpan w:val="2"/>
          </w:tcPr>
          <w:p w14:paraId="69470FDB" w14:textId="2750E715" w:rsidR="00F00904" w:rsidRPr="00EC4C97" w:rsidRDefault="00AF15EB" w:rsidP="00556588">
            <w:pPr>
              <w:spacing w:after="0" w:line="240" w:lineRule="auto"/>
              <w:jc w:val="both"/>
              <w:rPr>
                <w:rFonts w:ascii="Arial" w:hAnsi="Arial" w:cs="Arial"/>
                <w:b/>
                <w:color w:val="000000" w:themeColor="text1"/>
              </w:rPr>
            </w:pPr>
            <w:r w:rsidRPr="00EC4C97">
              <w:rPr>
                <w:rFonts w:ascii="Arial" w:hAnsi="Arial" w:cs="Arial"/>
                <w:b/>
                <w:color w:val="000000" w:themeColor="text1"/>
                <w:sz w:val="24"/>
                <w:szCs w:val="24"/>
              </w:rPr>
              <w:t xml:space="preserve">Provision of Research Services on the Impact of Mother Tongue (Somali) Instruction on Academic Performance </w:t>
            </w:r>
            <w:r w:rsidR="00E80C35" w:rsidRPr="00EC4C97">
              <w:rPr>
                <w:rFonts w:ascii="Arial" w:hAnsi="Arial" w:cs="Arial"/>
                <w:b/>
                <w:color w:val="000000" w:themeColor="text1"/>
                <w:sz w:val="24"/>
                <w:szCs w:val="24"/>
              </w:rPr>
              <w:t>in Primary and Secondary Education in Somalia</w:t>
            </w:r>
          </w:p>
        </w:tc>
      </w:tr>
      <w:tr w:rsidR="00B23602" w:rsidRPr="00EC4C97" w14:paraId="69470FE0" w14:textId="77777777" w:rsidTr="00233EB2">
        <w:trPr>
          <w:trHeight w:val="50"/>
        </w:trPr>
        <w:tc>
          <w:tcPr>
            <w:tcW w:w="620" w:type="dxa"/>
            <w:shd w:val="clear" w:color="auto" w:fill="F2F2F2"/>
          </w:tcPr>
          <w:p w14:paraId="69470FDD"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2</w:t>
            </w:r>
          </w:p>
        </w:tc>
        <w:tc>
          <w:tcPr>
            <w:tcW w:w="3150" w:type="dxa"/>
            <w:shd w:val="clear" w:color="auto" w:fill="F2F2F2"/>
          </w:tcPr>
          <w:p w14:paraId="69470FDE" w14:textId="77777777" w:rsidR="00B23602" w:rsidRPr="00EC4C97" w:rsidRDefault="00B60DB0" w:rsidP="00556588">
            <w:pPr>
              <w:spacing w:after="0" w:line="240" w:lineRule="auto"/>
              <w:rPr>
                <w:rFonts w:ascii="Arial" w:hAnsi="Arial" w:cs="Arial"/>
                <w:b/>
                <w:color w:val="000000" w:themeColor="text1"/>
              </w:rPr>
            </w:pPr>
            <w:r w:rsidRPr="00EC4C97">
              <w:rPr>
                <w:rFonts w:ascii="Arial" w:hAnsi="Arial" w:cs="Arial"/>
                <w:b/>
                <w:color w:val="000000" w:themeColor="text1"/>
              </w:rPr>
              <w:t>SCI Contracting Office</w:t>
            </w:r>
          </w:p>
        </w:tc>
        <w:tc>
          <w:tcPr>
            <w:tcW w:w="6840" w:type="dxa"/>
            <w:gridSpan w:val="2"/>
          </w:tcPr>
          <w:p w14:paraId="69470FDF" w14:textId="77777777"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Save the Children Somalia Country Office</w:t>
            </w:r>
          </w:p>
        </w:tc>
      </w:tr>
      <w:tr w:rsidR="00B23602" w:rsidRPr="00EC4C97" w14:paraId="69470FE4" w14:textId="77777777" w:rsidTr="00233EB2">
        <w:trPr>
          <w:trHeight w:val="50"/>
        </w:trPr>
        <w:tc>
          <w:tcPr>
            <w:tcW w:w="620" w:type="dxa"/>
            <w:shd w:val="clear" w:color="auto" w:fill="F2F2F2"/>
          </w:tcPr>
          <w:p w14:paraId="69470FE1"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3</w:t>
            </w:r>
          </w:p>
        </w:tc>
        <w:tc>
          <w:tcPr>
            <w:tcW w:w="3150" w:type="dxa"/>
            <w:shd w:val="clear" w:color="auto" w:fill="F2F2F2"/>
          </w:tcPr>
          <w:p w14:paraId="69470FE2" w14:textId="77777777" w:rsidR="00B23602" w:rsidRPr="00EC4C97" w:rsidRDefault="00B60DB0" w:rsidP="00556588">
            <w:pPr>
              <w:spacing w:after="0" w:line="240" w:lineRule="auto"/>
              <w:rPr>
                <w:rFonts w:ascii="Arial" w:hAnsi="Arial" w:cs="Arial"/>
                <w:b/>
                <w:color w:val="000000" w:themeColor="text1"/>
              </w:rPr>
            </w:pPr>
            <w:r w:rsidRPr="00EC4C97">
              <w:rPr>
                <w:rFonts w:ascii="Arial" w:hAnsi="Arial" w:cs="Arial"/>
                <w:b/>
                <w:color w:val="000000" w:themeColor="text1"/>
              </w:rPr>
              <w:t>Period of Consultancy</w:t>
            </w:r>
          </w:p>
        </w:tc>
        <w:tc>
          <w:tcPr>
            <w:tcW w:w="6840" w:type="dxa"/>
            <w:gridSpan w:val="2"/>
          </w:tcPr>
          <w:p w14:paraId="69470FE3" w14:textId="1157B069" w:rsidR="00B23602" w:rsidRPr="00EC4C97" w:rsidRDefault="00B60DB0" w:rsidP="00556588">
            <w:pPr>
              <w:shd w:val="clear" w:color="auto" w:fill="FFFFFF" w:themeFill="background1"/>
              <w:spacing w:after="0" w:line="240" w:lineRule="auto"/>
              <w:jc w:val="both"/>
              <w:rPr>
                <w:rFonts w:ascii="Arial" w:hAnsi="Arial" w:cs="Arial"/>
                <w:color w:val="000000" w:themeColor="text1"/>
              </w:rPr>
            </w:pPr>
            <w:r w:rsidRPr="00EC4C97">
              <w:rPr>
                <w:rFonts w:ascii="Arial" w:hAnsi="Arial" w:cs="Arial"/>
                <w:color w:val="000000" w:themeColor="text1"/>
              </w:rPr>
              <w:t>The assignment will be conducted 90 working days</w:t>
            </w:r>
          </w:p>
        </w:tc>
      </w:tr>
      <w:tr w:rsidR="00B23602" w:rsidRPr="00EC4C97" w14:paraId="69470FE8" w14:textId="77777777" w:rsidTr="002B3879">
        <w:trPr>
          <w:trHeight w:val="259"/>
        </w:trPr>
        <w:tc>
          <w:tcPr>
            <w:tcW w:w="620" w:type="dxa"/>
            <w:shd w:val="clear" w:color="auto" w:fill="F2F2F2"/>
          </w:tcPr>
          <w:p w14:paraId="69470FE5"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4</w:t>
            </w:r>
          </w:p>
        </w:tc>
        <w:tc>
          <w:tcPr>
            <w:tcW w:w="3150" w:type="dxa"/>
            <w:shd w:val="clear" w:color="auto" w:fill="F2F2F2"/>
          </w:tcPr>
          <w:p w14:paraId="69470FE6" w14:textId="77777777" w:rsidR="00B23602" w:rsidRPr="00EC4C97" w:rsidRDefault="00B60DB0" w:rsidP="00556588">
            <w:pPr>
              <w:spacing w:after="0" w:line="240" w:lineRule="auto"/>
              <w:rPr>
                <w:rFonts w:ascii="Arial" w:hAnsi="Arial" w:cs="Arial"/>
                <w:b/>
                <w:color w:val="000000" w:themeColor="text1"/>
              </w:rPr>
            </w:pPr>
            <w:r w:rsidRPr="00EC4C97">
              <w:rPr>
                <w:rFonts w:ascii="Arial" w:hAnsi="Arial" w:cs="Arial"/>
                <w:b/>
                <w:color w:val="000000" w:themeColor="text1"/>
              </w:rPr>
              <w:t xml:space="preserve">Consultant type required </w:t>
            </w:r>
          </w:p>
        </w:tc>
        <w:tc>
          <w:tcPr>
            <w:tcW w:w="6840" w:type="dxa"/>
            <w:gridSpan w:val="2"/>
          </w:tcPr>
          <w:p w14:paraId="69470FE7" w14:textId="6F8B4FE9" w:rsidR="00B23602" w:rsidRPr="00EC4C97" w:rsidRDefault="00AA46F4" w:rsidP="00556588">
            <w:pPr>
              <w:pStyle w:val="ListParagraph"/>
              <w:ind w:left="0"/>
              <w:rPr>
                <w:rFonts w:ascii="Arial" w:eastAsia="Calibri" w:hAnsi="Arial" w:cs="Arial"/>
                <w:color w:val="000000" w:themeColor="text1"/>
                <w:sz w:val="22"/>
                <w:szCs w:val="22"/>
                <w:lang w:val="en-US" w:eastAsia="en-US"/>
              </w:rPr>
            </w:pPr>
            <w:r w:rsidRPr="00EC4C97">
              <w:rPr>
                <w:rFonts w:ascii="Arial" w:eastAsia="Calibri" w:hAnsi="Arial" w:cs="Arial"/>
                <w:color w:val="000000" w:themeColor="text1"/>
                <w:sz w:val="22"/>
                <w:szCs w:val="22"/>
                <w:lang w:val="en-US" w:eastAsia="en-US"/>
              </w:rPr>
              <w:t>Consultancy Firm</w:t>
            </w:r>
          </w:p>
        </w:tc>
      </w:tr>
      <w:tr w:rsidR="00B23602" w:rsidRPr="00EC4C97" w14:paraId="69470FEC" w14:textId="77777777" w:rsidTr="00233EB2">
        <w:trPr>
          <w:trHeight w:val="1240"/>
        </w:trPr>
        <w:tc>
          <w:tcPr>
            <w:tcW w:w="620" w:type="dxa"/>
            <w:shd w:val="clear" w:color="auto" w:fill="F2F2F2"/>
          </w:tcPr>
          <w:p w14:paraId="69470FE9"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5</w:t>
            </w:r>
          </w:p>
        </w:tc>
        <w:tc>
          <w:tcPr>
            <w:tcW w:w="3150" w:type="dxa"/>
            <w:shd w:val="clear" w:color="auto" w:fill="F2F2F2"/>
          </w:tcPr>
          <w:p w14:paraId="69470FEA" w14:textId="77777777" w:rsidR="00B23602" w:rsidRPr="00EC4C97" w:rsidRDefault="00B60DB0" w:rsidP="00556588">
            <w:pPr>
              <w:spacing w:after="0" w:line="240" w:lineRule="auto"/>
              <w:rPr>
                <w:rFonts w:ascii="Arial" w:hAnsi="Arial" w:cs="Arial"/>
                <w:b/>
                <w:color w:val="000000" w:themeColor="text1"/>
              </w:rPr>
            </w:pPr>
            <w:r w:rsidRPr="00EC4C97">
              <w:rPr>
                <w:rFonts w:ascii="Arial" w:hAnsi="Arial" w:cs="Arial"/>
                <w:b/>
                <w:color w:val="000000" w:themeColor="text1"/>
              </w:rPr>
              <w:t>Responsibility for Logistics arrangements and Costs</w:t>
            </w:r>
          </w:p>
        </w:tc>
        <w:tc>
          <w:tcPr>
            <w:tcW w:w="6840" w:type="dxa"/>
            <w:gridSpan w:val="2"/>
          </w:tcPr>
          <w:p w14:paraId="69470FEB" w14:textId="36D0115D" w:rsidR="00B23602" w:rsidRPr="00EC4C97" w:rsidRDefault="00541C4B" w:rsidP="00556588">
            <w:pPr>
              <w:spacing w:after="0" w:line="240" w:lineRule="auto"/>
              <w:jc w:val="both"/>
              <w:rPr>
                <w:rFonts w:ascii="Arial" w:hAnsi="Arial" w:cs="Arial"/>
                <w:color w:val="000000" w:themeColor="text1"/>
              </w:rPr>
            </w:pPr>
            <w:r w:rsidRPr="00EC4C97">
              <w:rPr>
                <w:rFonts w:ascii="Arial" w:hAnsi="Arial" w:cs="Arial"/>
                <w:color w:val="000000" w:themeColor="text1"/>
              </w:rPr>
              <w:t xml:space="preserve">Save the Children will pay the fees for the consultancy in a lump sum and will not reimburse any incurred costs during the assignment. The consultant will cover their Logistical arrangements and costs in the country to coordinate and implement the consultancy.  </w:t>
            </w:r>
          </w:p>
        </w:tc>
      </w:tr>
      <w:tr w:rsidR="00B23602" w:rsidRPr="00EC4C97" w14:paraId="69470FF0" w14:textId="77777777" w:rsidTr="00D01160">
        <w:trPr>
          <w:trHeight w:val="664"/>
        </w:trPr>
        <w:tc>
          <w:tcPr>
            <w:tcW w:w="620" w:type="dxa"/>
            <w:shd w:val="clear" w:color="auto" w:fill="F2F2F2"/>
          </w:tcPr>
          <w:p w14:paraId="69470FED"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6</w:t>
            </w:r>
          </w:p>
        </w:tc>
        <w:tc>
          <w:tcPr>
            <w:tcW w:w="3150" w:type="dxa"/>
            <w:shd w:val="clear" w:color="auto" w:fill="F2F2F2"/>
          </w:tcPr>
          <w:p w14:paraId="69470FEE" w14:textId="77777777" w:rsidR="00B23602" w:rsidRPr="00EC4C97" w:rsidRDefault="00B60DB0" w:rsidP="00556588">
            <w:pPr>
              <w:spacing w:after="0" w:line="240" w:lineRule="auto"/>
              <w:rPr>
                <w:rFonts w:ascii="Arial" w:hAnsi="Arial" w:cs="Arial"/>
                <w:b/>
                <w:color w:val="000000" w:themeColor="text1"/>
              </w:rPr>
            </w:pPr>
            <w:r w:rsidRPr="00EC4C97">
              <w:rPr>
                <w:rFonts w:ascii="Arial" w:hAnsi="Arial" w:cs="Arial"/>
                <w:b/>
                <w:color w:val="000000" w:themeColor="text1"/>
              </w:rPr>
              <w:t>Taxation Provisions</w:t>
            </w:r>
          </w:p>
        </w:tc>
        <w:tc>
          <w:tcPr>
            <w:tcW w:w="6840" w:type="dxa"/>
            <w:gridSpan w:val="2"/>
          </w:tcPr>
          <w:p w14:paraId="69470FEF" w14:textId="49A3D3F0" w:rsidR="00B23602" w:rsidRPr="00EC4C97" w:rsidRDefault="00541C4B" w:rsidP="00556588">
            <w:pPr>
              <w:spacing w:after="0" w:line="240" w:lineRule="auto"/>
              <w:jc w:val="both"/>
              <w:rPr>
                <w:rFonts w:ascii="Arial" w:hAnsi="Arial" w:cs="Arial"/>
                <w:color w:val="000000" w:themeColor="text1"/>
              </w:rPr>
            </w:pPr>
            <w:r w:rsidRPr="00EC4C97">
              <w:rPr>
                <w:rFonts w:ascii="Arial" w:hAnsi="Arial" w:cs="Arial"/>
                <w:color w:val="000000" w:themeColor="text1"/>
              </w:rPr>
              <w:t>The consultant shall be responsible for all Taxes arising from the consultancy in line with the local Tax regulations applicable at the SCI contracting office named above.</w:t>
            </w:r>
          </w:p>
        </w:tc>
      </w:tr>
      <w:tr w:rsidR="00B23602" w:rsidRPr="00EC4C97" w14:paraId="69470FF4" w14:textId="77777777" w:rsidTr="00D01160">
        <w:trPr>
          <w:trHeight w:val="574"/>
        </w:trPr>
        <w:tc>
          <w:tcPr>
            <w:tcW w:w="620" w:type="dxa"/>
            <w:shd w:val="clear" w:color="auto" w:fill="F2F2F2"/>
          </w:tcPr>
          <w:p w14:paraId="69470FF1"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7</w:t>
            </w:r>
          </w:p>
        </w:tc>
        <w:tc>
          <w:tcPr>
            <w:tcW w:w="3150" w:type="dxa"/>
            <w:shd w:val="clear" w:color="auto" w:fill="F2F2F2"/>
          </w:tcPr>
          <w:p w14:paraId="69470FF2" w14:textId="77777777"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 xml:space="preserve">Travel requirements </w:t>
            </w:r>
          </w:p>
        </w:tc>
        <w:tc>
          <w:tcPr>
            <w:tcW w:w="6840" w:type="dxa"/>
            <w:gridSpan w:val="2"/>
          </w:tcPr>
          <w:p w14:paraId="69470FF3" w14:textId="3EDA517A" w:rsidR="00B23602" w:rsidRPr="00EC4C97" w:rsidRDefault="00541C4B" w:rsidP="00556588">
            <w:pPr>
              <w:spacing w:after="0" w:line="240" w:lineRule="auto"/>
              <w:jc w:val="both"/>
              <w:rPr>
                <w:rFonts w:ascii="Arial" w:hAnsi="Arial" w:cs="Arial"/>
                <w:color w:val="000000" w:themeColor="text1"/>
              </w:rPr>
            </w:pPr>
            <w:r w:rsidRPr="00EC4C97">
              <w:rPr>
                <w:rFonts w:ascii="Arial" w:hAnsi="Arial" w:cs="Arial"/>
                <w:color w:val="000000" w:themeColor="text1"/>
              </w:rPr>
              <w:t>The consultant will cover their travel costs (tickets) and arrange local travel to field sites if needed</w:t>
            </w:r>
          </w:p>
        </w:tc>
      </w:tr>
      <w:tr w:rsidR="00B23602" w:rsidRPr="00EC4C97" w14:paraId="69470FF8" w14:textId="77777777" w:rsidTr="00233EB2">
        <w:trPr>
          <w:trHeight w:val="672"/>
        </w:trPr>
        <w:tc>
          <w:tcPr>
            <w:tcW w:w="620" w:type="dxa"/>
            <w:shd w:val="clear" w:color="auto" w:fill="F2F2F2"/>
          </w:tcPr>
          <w:p w14:paraId="69470FF5"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8</w:t>
            </w:r>
          </w:p>
        </w:tc>
        <w:tc>
          <w:tcPr>
            <w:tcW w:w="3150" w:type="dxa"/>
            <w:shd w:val="clear" w:color="auto" w:fill="F2F2F2"/>
          </w:tcPr>
          <w:p w14:paraId="69470FF6" w14:textId="77777777"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Security requirements</w:t>
            </w:r>
          </w:p>
        </w:tc>
        <w:tc>
          <w:tcPr>
            <w:tcW w:w="6840" w:type="dxa"/>
            <w:gridSpan w:val="2"/>
          </w:tcPr>
          <w:p w14:paraId="69470FF7" w14:textId="1320C323" w:rsidR="00B23602" w:rsidRPr="00EC4C97" w:rsidRDefault="00541C4B" w:rsidP="00556588">
            <w:pPr>
              <w:spacing w:after="0" w:line="240" w:lineRule="auto"/>
              <w:jc w:val="both"/>
              <w:rPr>
                <w:rFonts w:ascii="Arial" w:hAnsi="Arial" w:cs="Arial"/>
                <w:color w:val="000000" w:themeColor="text1"/>
              </w:rPr>
            </w:pPr>
            <w:r w:rsidRPr="00EC4C97">
              <w:rPr>
                <w:rFonts w:ascii="Arial" w:hAnsi="Arial" w:cs="Arial"/>
                <w:color w:val="000000" w:themeColor="text1"/>
              </w:rPr>
              <w:t xml:space="preserve">The consultant will comply with standards of </w:t>
            </w:r>
            <w:r w:rsidR="00DD033C" w:rsidRPr="00EC4C97">
              <w:rPr>
                <w:rFonts w:ascii="Arial" w:hAnsi="Arial" w:cs="Arial"/>
                <w:color w:val="000000" w:themeColor="text1"/>
              </w:rPr>
              <w:t xml:space="preserve">the Federal government and </w:t>
            </w:r>
            <w:r w:rsidRPr="00EC4C97">
              <w:rPr>
                <w:rFonts w:ascii="Arial" w:hAnsi="Arial" w:cs="Arial"/>
                <w:color w:val="000000" w:themeColor="text1"/>
              </w:rPr>
              <w:t xml:space="preserve">Save the Children Security procedures, including the completion of SCI online security training prior to travel to Somalia. </w:t>
            </w:r>
          </w:p>
        </w:tc>
      </w:tr>
      <w:tr w:rsidR="00B23602" w:rsidRPr="00EC4C97" w14:paraId="6947100C" w14:textId="77777777" w:rsidTr="00233EB2">
        <w:trPr>
          <w:trHeight w:val="472"/>
        </w:trPr>
        <w:tc>
          <w:tcPr>
            <w:tcW w:w="620" w:type="dxa"/>
            <w:shd w:val="clear" w:color="auto" w:fill="F2F2F2"/>
          </w:tcPr>
          <w:p w14:paraId="69470FF9" w14:textId="77777777" w:rsidR="00B23602" w:rsidRPr="00EC4C97" w:rsidRDefault="00B60DB0" w:rsidP="00556588">
            <w:pPr>
              <w:spacing w:after="0" w:line="240" w:lineRule="auto"/>
              <w:rPr>
                <w:rFonts w:ascii="Arial" w:hAnsi="Arial" w:cs="Arial"/>
                <w:color w:val="000000" w:themeColor="text1"/>
              </w:rPr>
            </w:pPr>
            <w:r w:rsidRPr="00EC4C97">
              <w:rPr>
                <w:rFonts w:ascii="Arial" w:hAnsi="Arial" w:cs="Arial"/>
                <w:color w:val="000000" w:themeColor="text1"/>
              </w:rPr>
              <w:t>9</w:t>
            </w:r>
          </w:p>
        </w:tc>
        <w:tc>
          <w:tcPr>
            <w:tcW w:w="3150" w:type="dxa"/>
            <w:shd w:val="clear" w:color="auto" w:fill="F2F2F2"/>
          </w:tcPr>
          <w:p w14:paraId="69470FFA" w14:textId="77777777"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Professional quality and Expertise</w:t>
            </w:r>
          </w:p>
        </w:tc>
        <w:tc>
          <w:tcPr>
            <w:tcW w:w="6840" w:type="dxa"/>
            <w:gridSpan w:val="2"/>
          </w:tcPr>
          <w:p w14:paraId="263009CE" w14:textId="7F155560" w:rsidR="00955658" w:rsidRPr="00EC4C97" w:rsidRDefault="00955658" w:rsidP="00556588">
            <w:pPr>
              <w:spacing w:after="0" w:line="240" w:lineRule="auto"/>
              <w:jc w:val="both"/>
              <w:rPr>
                <w:rFonts w:ascii="Arial" w:hAnsi="Arial" w:cs="Arial"/>
                <w:color w:val="000000" w:themeColor="text1"/>
              </w:rPr>
            </w:pPr>
            <w:r w:rsidRPr="00EC4C97">
              <w:rPr>
                <w:rFonts w:ascii="Arial" w:hAnsi="Arial" w:cs="Arial"/>
                <w:color w:val="000000" w:themeColor="text1"/>
              </w:rPr>
              <w:t>The following are the minimum requirements for the consultant to be considered for carrying out the assignment</w:t>
            </w:r>
          </w:p>
          <w:p w14:paraId="19AC2B74" w14:textId="77777777" w:rsidR="00D6070A" w:rsidRPr="00EC4C97" w:rsidRDefault="00D6070A" w:rsidP="00556588">
            <w:pPr>
              <w:spacing w:after="0" w:line="240" w:lineRule="auto"/>
              <w:jc w:val="both"/>
              <w:rPr>
                <w:rFonts w:ascii="Arial" w:hAnsi="Arial" w:cs="Arial"/>
              </w:rPr>
            </w:pPr>
            <w:r w:rsidRPr="00EC4C97">
              <w:rPr>
                <w:rFonts w:ascii="Arial" w:hAnsi="Arial" w:cs="Arial"/>
              </w:rPr>
              <w:t>Applicants must demonstrate the following qualifications and experience:</w:t>
            </w:r>
          </w:p>
          <w:p w14:paraId="05C8D244" w14:textId="77777777" w:rsidR="00D6070A" w:rsidRPr="00EC4C97" w:rsidRDefault="00D6070A" w:rsidP="00556588">
            <w:pPr>
              <w:spacing w:after="0" w:line="240" w:lineRule="auto"/>
              <w:jc w:val="both"/>
              <w:rPr>
                <w:rFonts w:ascii="Arial" w:hAnsi="Arial" w:cs="Arial"/>
              </w:rPr>
            </w:pPr>
            <w:r w:rsidRPr="00EC4C97">
              <w:rPr>
                <w:rFonts w:ascii="Arial" w:hAnsi="Arial" w:cs="Arial"/>
                <w:b/>
                <w:bCs/>
              </w:rPr>
              <w:t>Education:</w:t>
            </w:r>
            <w:r w:rsidRPr="00EC4C97">
              <w:rPr>
                <w:rFonts w:ascii="Arial" w:hAnsi="Arial" w:cs="Arial"/>
              </w:rPr>
              <w:t xml:space="preserve"> </w:t>
            </w:r>
          </w:p>
          <w:p w14:paraId="7D0BB98F" w14:textId="6E04CE60" w:rsidR="00D6070A" w:rsidRPr="00EC4C97" w:rsidRDefault="00D6070A" w:rsidP="00556588">
            <w:pPr>
              <w:pStyle w:val="ListParagraph"/>
              <w:numPr>
                <w:ilvl w:val="0"/>
                <w:numId w:val="21"/>
              </w:numPr>
              <w:jc w:val="both"/>
              <w:rPr>
                <w:rFonts w:ascii="Arial" w:hAnsi="Arial" w:cs="Arial"/>
                <w:sz w:val="22"/>
                <w:szCs w:val="22"/>
              </w:rPr>
            </w:pPr>
            <w:r w:rsidRPr="00EC4C97">
              <w:rPr>
                <w:rFonts w:ascii="Arial" w:hAnsi="Arial" w:cs="Arial"/>
                <w:sz w:val="22"/>
                <w:szCs w:val="22"/>
              </w:rPr>
              <w:t>Advanced degree (master’s or PhD) in Education, Linguistics, Social Sciences, or a related field.</w:t>
            </w:r>
          </w:p>
          <w:p w14:paraId="02E5A94E" w14:textId="77777777" w:rsidR="00D6070A" w:rsidRPr="00EC4C97" w:rsidRDefault="00D6070A" w:rsidP="00556588">
            <w:pPr>
              <w:spacing w:after="0" w:line="240" w:lineRule="auto"/>
              <w:jc w:val="both"/>
              <w:rPr>
                <w:rFonts w:ascii="Arial" w:hAnsi="Arial" w:cs="Arial"/>
                <w:b/>
                <w:bCs/>
              </w:rPr>
            </w:pPr>
            <w:r w:rsidRPr="00EC4C97">
              <w:rPr>
                <w:rFonts w:ascii="Arial" w:hAnsi="Arial" w:cs="Arial"/>
                <w:b/>
                <w:bCs/>
              </w:rPr>
              <w:t>Experience:</w:t>
            </w:r>
          </w:p>
          <w:p w14:paraId="21FF8689" w14:textId="5742F31E" w:rsidR="00375628" w:rsidRPr="00EC4C97" w:rsidRDefault="00D6070A" w:rsidP="00556588">
            <w:pPr>
              <w:pStyle w:val="ListParagraph"/>
              <w:numPr>
                <w:ilvl w:val="0"/>
                <w:numId w:val="15"/>
              </w:numPr>
              <w:jc w:val="both"/>
              <w:rPr>
                <w:rFonts w:ascii="Arial" w:hAnsi="Arial" w:cs="Arial"/>
                <w:sz w:val="22"/>
                <w:szCs w:val="22"/>
              </w:rPr>
            </w:pPr>
            <w:r w:rsidRPr="00EC4C97">
              <w:rPr>
                <w:rFonts w:ascii="Arial" w:hAnsi="Arial" w:cs="Arial"/>
                <w:sz w:val="22"/>
                <w:szCs w:val="22"/>
              </w:rPr>
              <w:t>Minimum of 7–10 years of proven experience in conducting educational research, particularly in language of instruction, bilingual education, or academic performance studies.</w:t>
            </w:r>
          </w:p>
          <w:p w14:paraId="101AAAC7" w14:textId="77777777" w:rsidR="00375628" w:rsidRPr="00EC4C97" w:rsidRDefault="00D6070A" w:rsidP="00556588">
            <w:pPr>
              <w:spacing w:after="0" w:line="240" w:lineRule="auto"/>
              <w:jc w:val="both"/>
              <w:rPr>
                <w:rFonts w:ascii="Arial" w:hAnsi="Arial" w:cs="Arial"/>
              </w:rPr>
            </w:pPr>
            <w:r w:rsidRPr="00EC4C97">
              <w:rPr>
                <w:rFonts w:ascii="Arial" w:hAnsi="Arial" w:cs="Arial"/>
                <w:b/>
                <w:bCs/>
              </w:rPr>
              <w:t>Regional Expertise:</w:t>
            </w:r>
            <w:r w:rsidRPr="00EC4C97">
              <w:rPr>
                <w:rFonts w:ascii="Arial" w:hAnsi="Arial" w:cs="Arial"/>
              </w:rPr>
              <w:t xml:space="preserve"> </w:t>
            </w:r>
          </w:p>
          <w:p w14:paraId="692277F5" w14:textId="290023F4" w:rsidR="00375628" w:rsidRPr="00EC4C97" w:rsidRDefault="00D6070A" w:rsidP="00556588">
            <w:pPr>
              <w:pStyle w:val="ListParagraph"/>
              <w:numPr>
                <w:ilvl w:val="0"/>
                <w:numId w:val="15"/>
              </w:numPr>
              <w:jc w:val="both"/>
              <w:rPr>
                <w:rFonts w:ascii="Arial" w:hAnsi="Arial" w:cs="Arial"/>
                <w:sz w:val="22"/>
                <w:szCs w:val="22"/>
              </w:rPr>
            </w:pPr>
            <w:r w:rsidRPr="00EC4C97">
              <w:rPr>
                <w:rFonts w:ascii="Arial" w:hAnsi="Arial" w:cs="Arial"/>
                <w:sz w:val="22"/>
                <w:szCs w:val="22"/>
              </w:rPr>
              <w:t>Demonstrated understanding of the Somali educational context, cultural nuances, and linguistic landscape.</w:t>
            </w:r>
          </w:p>
          <w:p w14:paraId="41C93186" w14:textId="77777777" w:rsidR="00375628" w:rsidRPr="00EC4C97" w:rsidRDefault="00D6070A" w:rsidP="00556588">
            <w:pPr>
              <w:spacing w:after="0" w:line="240" w:lineRule="auto"/>
              <w:jc w:val="both"/>
              <w:rPr>
                <w:rFonts w:ascii="Arial" w:hAnsi="Arial" w:cs="Arial"/>
              </w:rPr>
            </w:pPr>
            <w:r w:rsidRPr="00EC4C97">
              <w:rPr>
                <w:rFonts w:ascii="Arial" w:hAnsi="Arial" w:cs="Arial"/>
                <w:b/>
                <w:bCs/>
              </w:rPr>
              <w:t>Methodological Skills:</w:t>
            </w:r>
            <w:r w:rsidRPr="00EC4C97">
              <w:rPr>
                <w:rFonts w:ascii="Arial" w:hAnsi="Arial" w:cs="Arial"/>
              </w:rPr>
              <w:t xml:space="preserve"> </w:t>
            </w:r>
          </w:p>
          <w:p w14:paraId="4CF03684" w14:textId="383ED1AC" w:rsidR="00375628" w:rsidRPr="00EC4C97" w:rsidRDefault="00D6070A" w:rsidP="00556588">
            <w:pPr>
              <w:pStyle w:val="ListParagraph"/>
              <w:numPr>
                <w:ilvl w:val="0"/>
                <w:numId w:val="15"/>
              </w:numPr>
              <w:jc w:val="both"/>
              <w:rPr>
                <w:rFonts w:ascii="Arial" w:hAnsi="Arial" w:cs="Arial"/>
                <w:sz w:val="22"/>
                <w:szCs w:val="22"/>
              </w:rPr>
            </w:pPr>
            <w:r w:rsidRPr="00EC4C97">
              <w:rPr>
                <w:rFonts w:ascii="Arial" w:hAnsi="Arial" w:cs="Arial"/>
                <w:sz w:val="22"/>
                <w:szCs w:val="22"/>
              </w:rPr>
              <w:t>Strong expertise in both quantitative and qualitative research methodologies, including statistical analysis and qualitative data interpretation.</w:t>
            </w:r>
          </w:p>
          <w:p w14:paraId="09E3A77E" w14:textId="77777777" w:rsidR="00375628" w:rsidRPr="00EC4C97" w:rsidRDefault="00D6070A" w:rsidP="00556588">
            <w:pPr>
              <w:spacing w:after="0" w:line="240" w:lineRule="auto"/>
              <w:jc w:val="both"/>
              <w:rPr>
                <w:rFonts w:ascii="Arial" w:hAnsi="Arial" w:cs="Arial"/>
              </w:rPr>
            </w:pPr>
            <w:r w:rsidRPr="00EC4C97">
              <w:rPr>
                <w:rFonts w:ascii="Arial" w:hAnsi="Arial" w:cs="Arial"/>
                <w:b/>
                <w:bCs/>
              </w:rPr>
              <w:t>Language Proficiency:</w:t>
            </w:r>
            <w:r w:rsidRPr="00EC4C97">
              <w:rPr>
                <w:rFonts w:ascii="Arial" w:hAnsi="Arial" w:cs="Arial"/>
              </w:rPr>
              <w:t xml:space="preserve"> </w:t>
            </w:r>
          </w:p>
          <w:p w14:paraId="27F39AC2" w14:textId="245B9D03" w:rsidR="00375628" w:rsidRPr="00EC4C97" w:rsidRDefault="00D6070A" w:rsidP="00556588">
            <w:pPr>
              <w:pStyle w:val="ListParagraph"/>
              <w:numPr>
                <w:ilvl w:val="0"/>
                <w:numId w:val="15"/>
              </w:numPr>
              <w:jc w:val="both"/>
              <w:rPr>
                <w:rFonts w:ascii="Arial" w:hAnsi="Arial" w:cs="Arial"/>
                <w:sz w:val="22"/>
                <w:szCs w:val="22"/>
              </w:rPr>
            </w:pPr>
            <w:r w:rsidRPr="00EC4C97">
              <w:rPr>
                <w:rFonts w:ascii="Arial" w:hAnsi="Arial" w:cs="Arial"/>
                <w:sz w:val="22"/>
                <w:szCs w:val="22"/>
              </w:rPr>
              <w:t>Fluency in both Somali and English (written and spoken) is essential. Knowledge of Arabic will be an added advantage.</w:t>
            </w:r>
          </w:p>
          <w:p w14:paraId="745FCCDE" w14:textId="1A43687F" w:rsidR="00375628" w:rsidRPr="00EC4C97" w:rsidRDefault="00D6070A" w:rsidP="00556588">
            <w:pPr>
              <w:spacing w:after="0" w:line="240" w:lineRule="auto"/>
              <w:jc w:val="both"/>
              <w:rPr>
                <w:rFonts w:ascii="Arial" w:hAnsi="Arial" w:cs="Arial"/>
              </w:rPr>
            </w:pPr>
            <w:r w:rsidRPr="00EC4C97">
              <w:rPr>
                <w:rFonts w:ascii="Arial" w:hAnsi="Arial" w:cs="Arial"/>
                <w:b/>
                <w:bCs/>
              </w:rPr>
              <w:t>Communication Skills:</w:t>
            </w:r>
            <w:r w:rsidRPr="00EC4C97">
              <w:rPr>
                <w:rFonts w:ascii="Arial" w:hAnsi="Arial" w:cs="Arial"/>
              </w:rPr>
              <w:t xml:space="preserve"> </w:t>
            </w:r>
          </w:p>
          <w:p w14:paraId="6947100B" w14:textId="2A3B4A51" w:rsidR="00375628" w:rsidRPr="00EC4C97" w:rsidRDefault="00D6070A" w:rsidP="00556588">
            <w:pPr>
              <w:pStyle w:val="ListParagraph"/>
              <w:numPr>
                <w:ilvl w:val="0"/>
                <w:numId w:val="15"/>
              </w:numPr>
              <w:jc w:val="both"/>
              <w:rPr>
                <w:rFonts w:ascii="Arial" w:hAnsi="Arial" w:cs="Arial"/>
                <w:sz w:val="22"/>
                <w:szCs w:val="22"/>
              </w:rPr>
            </w:pPr>
            <w:r w:rsidRPr="00EC4C97">
              <w:rPr>
                <w:rFonts w:ascii="Arial" w:hAnsi="Arial" w:cs="Arial"/>
                <w:sz w:val="22"/>
                <w:szCs w:val="22"/>
              </w:rPr>
              <w:t>Excellent report writing, presentation, and interpersonal communication skills.</w:t>
            </w:r>
          </w:p>
        </w:tc>
      </w:tr>
      <w:tr w:rsidR="00233EB2" w:rsidRPr="00EC4C97" w14:paraId="686E1B0C" w14:textId="77777777" w:rsidTr="00233EB2">
        <w:trPr>
          <w:trHeight w:val="472"/>
        </w:trPr>
        <w:tc>
          <w:tcPr>
            <w:tcW w:w="620" w:type="dxa"/>
            <w:shd w:val="clear" w:color="auto" w:fill="F2F2F2"/>
          </w:tcPr>
          <w:p w14:paraId="5B9FE35F" w14:textId="77777777" w:rsidR="00233EB2" w:rsidRPr="00EC4C97" w:rsidRDefault="00233EB2" w:rsidP="00556588">
            <w:pPr>
              <w:spacing w:after="0" w:line="240" w:lineRule="auto"/>
              <w:rPr>
                <w:rFonts w:ascii="Arial" w:hAnsi="Arial" w:cs="Arial"/>
                <w:color w:val="000000" w:themeColor="text1"/>
              </w:rPr>
            </w:pPr>
          </w:p>
        </w:tc>
        <w:tc>
          <w:tcPr>
            <w:tcW w:w="3150" w:type="dxa"/>
            <w:shd w:val="clear" w:color="auto" w:fill="F2F2F2"/>
          </w:tcPr>
          <w:p w14:paraId="7AE62284" w14:textId="77777777" w:rsidR="00233EB2" w:rsidRPr="00EC4C97" w:rsidRDefault="00233EB2" w:rsidP="00556588">
            <w:pPr>
              <w:spacing w:after="0" w:line="240" w:lineRule="auto"/>
              <w:jc w:val="both"/>
              <w:rPr>
                <w:rFonts w:ascii="Arial" w:hAnsi="Arial" w:cs="Arial"/>
                <w:b/>
                <w:bCs/>
              </w:rPr>
            </w:pPr>
            <w:r w:rsidRPr="00EC4C97">
              <w:rPr>
                <w:rFonts w:ascii="Arial" w:hAnsi="Arial" w:cs="Arial"/>
                <w:b/>
                <w:bCs/>
              </w:rPr>
              <w:t>Team leader</w:t>
            </w:r>
          </w:p>
          <w:p w14:paraId="1FE2A2EF" w14:textId="15961FCE" w:rsidR="00233EB2" w:rsidRPr="00EC4C97" w:rsidRDefault="00233EB2" w:rsidP="00556588">
            <w:pPr>
              <w:spacing w:after="0" w:line="240" w:lineRule="auto"/>
              <w:jc w:val="both"/>
              <w:rPr>
                <w:rFonts w:ascii="Arial" w:hAnsi="Arial" w:cs="Arial"/>
                <w:b/>
                <w:color w:val="000000" w:themeColor="text1"/>
              </w:rPr>
            </w:pPr>
          </w:p>
        </w:tc>
        <w:tc>
          <w:tcPr>
            <w:tcW w:w="6840" w:type="dxa"/>
            <w:gridSpan w:val="2"/>
          </w:tcPr>
          <w:p w14:paraId="213BE323" w14:textId="77777777" w:rsidR="00615EE8" w:rsidRPr="00EC4C97" w:rsidRDefault="00615EE8" w:rsidP="00556588">
            <w:pPr>
              <w:spacing w:after="0" w:line="240" w:lineRule="auto"/>
              <w:jc w:val="both"/>
              <w:rPr>
                <w:rFonts w:ascii="Arial" w:hAnsi="Arial" w:cs="Arial"/>
                <w:b/>
                <w:bCs/>
              </w:rPr>
            </w:pPr>
            <w:r w:rsidRPr="00EC4C97">
              <w:rPr>
                <w:rFonts w:ascii="Arial" w:hAnsi="Arial" w:cs="Arial"/>
                <w:b/>
                <w:bCs/>
              </w:rPr>
              <w:t>Education:</w:t>
            </w:r>
          </w:p>
          <w:p w14:paraId="11858A63" w14:textId="70BB9EEC" w:rsidR="00615EE8" w:rsidRPr="00EC4C97" w:rsidRDefault="00615EE8" w:rsidP="00556588">
            <w:pPr>
              <w:pStyle w:val="ListParagraph"/>
              <w:numPr>
                <w:ilvl w:val="0"/>
                <w:numId w:val="15"/>
              </w:numPr>
              <w:jc w:val="both"/>
              <w:rPr>
                <w:rFonts w:ascii="Arial" w:hAnsi="Arial" w:cs="Arial"/>
                <w:sz w:val="22"/>
                <w:szCs w:val="22"/>
              </w:rPr>
            </w:pPr>
            <w:r w:rsidRPr="00EC4C97">
              <w:rPr>
                <w:rFonts w:ascii="Arial" w:hAnsi="Arial" w:cs="Arial"/>
                <w:sz w:val="22"/>
                <w:szCs w:val="22"/>
              </w:rPr>
              <w:t>Advanced degree (</w:t>
            </w:r>
            <w:r w:rsidR="00861B2C" w:rsidRPr="00EC4C97">
              <w:rPr>
                <w:rFonts w:ascii="Arial" w:hAnsi="Arial" w:cs="Arial"/>
                <w:sz w:val="22"/>
                <w:szCs w:val="22"/>
              </w:rPr>
              <w:t>master’s</w:t>
            </w:r>
            <w:r w:rsidRPr="00EC4C97">
              <w:rPr>
                <w:rFonts w:ascii="Arial" w:hAnsi="Arial" w:cs="Arial"/>
                <w:sz w:val="22"/>
                <w:szCs w:val="22"/>
              </w:rPr>
              <w:t xml:space="preserve"> or PhD) in Education, Linguistics, Social Sciences, or a related field.</w:t>
            </w:r>
          </w:p>
          <w:p w14:paraId="4B1AB52E" w14:textId="77777777" w:rsidR="00615EE8" w:rsidRPr="00EC4C97" w:rsidRDefault="00615EE8" w:rsidP="00556588">
            <w:pPr>
              <w:spacing w:after="0" w:line="240" w:lineRule="auto"/>
              <w:jc w:val="both"/>
              <w:rPr>
                <w:rFonts w:ascii="Arial" w:hAnsi="Arial" w:cs="Arial"/>
                <w:b/>
                <w:bCs/>
              </w:rPr>
            </w:pPr>
            <w:r w:rsidRPr="00EC4C97">
              <w:rPr>
                <w:rFonts w:ascii="Arial" w:hAnsi="Arial" w:cs="Arial"/>
                <w:b/>
                <w:bCs/>
              </w:rPr>
              <w:t>Experience:</w:t>
            </w:r>
          </w:p>
          <w:p w14:paraId="6A86972A" w14:textId="77777777" w:rsidR="00615EE8" w:rsidRPr="00EC4C97" w:rsidRDefault="00615EE8" w:rsidP="00556588">
            <w:pPr>
              <w:pStyle w:val="ListParagraph"/>
              <w:numPr>
                <w:ilvl w:val="0"/>
                <w:numId w:val="15"/>
              </w:numPr>
              <w:jc w:val="both"/>
              <w:rPr>
                <w:rFonts w:ascii="Arial" w:hAnsi="Arial" w:cs="Arial"/>
                <w:sz w:val="22"/>
                <w:szCs w:val="22"/>
              </w:rPr>
            </w:pPr>
            <w:r w:rsidRPr="00EC4C97">
              <w:rPr>
                <w:rFonts w:ascii="Arial" w:hAnsi="Arial" w:cs="Arial"/>
                <w:sz w:val="22"/>
                <w:szCs w:val="22"/>
              </w:rPr>
              <w:lastRenderedPageBreak/>
              <w:t>Minimum of 7–10 years of demonstrated experience leading education research or evaluation studies, preferably in fragile or conflict-affected contexts.</w:t>
            </w:r>
          </w:p>
          <w:p w14:paraId="1A110001" w14:textId="1C685B63"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Provides overall strategic and technical leadership of the research study, ensuring high-quality outputs and adherence to the agreed methodology and timeline.</w:t>
            </w:r>
          </w:p>
          <w:p w14:paraId="1A110002" w14:textId="1A110002"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Leads the design and finalisation of the study methodology, data collection coordination across all Federal Member States, and quality assurance of all tools and outputs.</w:t>
            </w:r>
          </w:p>
          <w:p w14:paraId="1A110003" w14:textId="1A110003"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Serves as the primary point of contact between the study team, MOECHE, and Save the Children International, managing all stakeholder relationships and communications.</w:t>
            </w:r>
          </w:p>
          <w:p w14:paraId="1A110004" w14:textId="1A110004"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Leads all key stakeholder engagements, including the Inception Workshop, Validation Workshop, and National Dissemination Event.</w:t>
            </w:r>
          </w:p>
          <w:p w14:paraId="5491621F" w14:textId="15190A9A"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Oversees data analysis and takes lead responsibility for the preparation and quality of the final research report and policy recommendations.</w:t>
            </w:r>
          </w:p>
        </w:tc>
      </w:tr>
      <w:tr w:rsidR="00206A7F" w:rsidRPr="00EC4C97" w14:paraId="39594040" w14:textId="77777777" w:rsidTr="00233EB2">
        <w:trPr>
          <w:trHeight w:val="3076"/>
        </w:trPr>
        <w:tc>
          <w:tcPr>
            <w:tcW w:w="620" w:type="dxa"/>
            <w:shd w:val="clear" w:color="auto" w:fill="F2F2F2"/>
          </w:tcPr>
          <w:p w14:paraId="2A6D8C46" w14:textId="77777777" w:rsidR="00206A7F" w:rsidRPr="00EC4C97" w:rsidRDefault="00206A7F" w:rsidP="00556588">
            <w:pPr>
              <w:spacing w:after="0" w:line="240" w:lineRule="auto"/>
              <w:rPr>
                <w:rFonts w:ascii="Arial" w:hAnsi="Arial" w:cs="Arial"/>
                <w:color w:val="000000" w:themeColor="text1"/>
              </w:rPr>
            </w:pPr>
          </w:p>
        </w:tc>
        <w:tc>
          <w:tcPr>
            <w:tcW w:w="3150" w:type="dxa"/>
            <w:shd w:val="clear" w:color="auto" w:fill="F2F2F2"/>
          </w:tcPr>
          <w:p w14:paraId="47AB28DB" w14:textId="6D69302E" w:rsidR="00206A7F" w:rsidRPr="00EC4C97" w:rsidRDefault="00233EB2" w:rsidP="00556588">
            <w:pPr>
              <w:spacing w:after="0" w:line="240" w:lineRule="auto"/>
              <w:jc w:val="both"/>
              <w:rPr>
                <w:rFonts w:ascii="Arial" w:hAnsi="Arial" w:cs="Arial"/>
                <w:b/>
                <w:color w:val="000000" w:themeColor="text1"/>
              </w:rPr>
            </w:pPr>
            <w:r w:rsidRPr="00EC4C97">
              <w:rPr>
                <w:rFonts w:ascii="Arial" w:hAnsi="Arial" w:cs="Arial"/>
                <w:b/>
                <w:bCs/>
              </w:rPr>
              <w:t xml:space="preserve">Research Expert: </w:t>
            </w:r>
          </w:p>
        </w:tc>
        <w:tc>
          <w:tcPr>
            <w:tcW w:w="6840" w:type="dxa"/>
            <w:gridSpan w:val="2"/>
          </w:tcPr>
          <w:p w14:paraId="7EE0D87B" w14:textId="77777777" w:rsidR="00615EE8" w:rsidRPr="00EC4C97" w:rsidRDefault="00615EE8" w:rsidP="00556588">
            <w:pPr>
              <w:spacing w:after="0" w:line="240" w:lineRule="auto"/>
              <w:jc w:val="both"/>
              <w:rPr>
                <w:rFonts w:ascii="Arial" w:hAnsi="Arial" w:cs="Arial"/>
                <w:b/>
                <w:bCs/>
              </w:rPr>
            </w:pPr>
            <w:r w:rsidRPr="00EC4C97">
              <w:rPr>
                <w:rFonts w:ascii="Arial" w:hAnsi="Arial" w:cs="Arial"/>
                <w:b/>
                <w:bCs/>
              </w:rPr>
              <w:t>Education:</w:t>
            </w:r>
          </w:p>
          <w:p w14:paraId="12DDE205" w14:textId="0EBC8065" w:rsidR="00615EE8" w:rsidRPr="00EC4C97" w:rsidRDefault="00615EE8" w:rsidP="00556588">
            <w:pPr>
              <w:pStyle w:val="ListParagraph"/>
              <w:numPr>
                <w:ilvl w:val="0"/>
                <w:numId w:val="15"/>
              </w:numPr>
              <w:jc w:val="both"/>
              <w:rPr>
                <w:rFonts w:ascii="Arial" w:hAnsi="Arial" w:cs="Arial"/>
                <w:sz w:val="22"/>
                <w:szCs w:val="22"/>
              </w:rPr>
            </w:pPr>
            <w:r w:rsidRPr="00EC4C97">
              <w:rPr>
                <w:rFonts w:ascii="Arial" w:hAnsi="Arial" w:cs="Arial"/>
                <w:sz w:val="22"/>
                <w:szCs w:val="22"/>
              </w:rPr>
              <w:t>Advanced degree (</w:t>
            </w:r>
            <w:r w:rsidR="009C1DCE" w:rsidRPr="00EC4C97">
              <w:rPr>
                <w:rFonts w:ascii="Arial" w:hAnsi="Arial" w:cs="Arial"/>
                <w:sz w:val="22"/>
                <w:szCs w:val="22"/>
              </w:rPr>
              <w:t>master’s</w:t>
            </w:r>
            <w:r w:rsidRPr="00EC4C97">
              <w:rPr>
                <w:rFonts w:ascii="Arial" w:hAnsi="Arial" w:cs="Arial"/>
                <w:sz w:val="22"/>
                <w:szCs w:val="22"/>
              </w:rPr>
              <w:t xml:space="preserve"> or PhD) in Education, Linguistics, Research Methods, or a closely related discipline.</w:t>
            </w:r>
          </w:p>
          <w:p w14:paraId="65348CB1" w14:textId="77777777" w:rsidR="00615EE8" w:rsidRPr="00EC4C97" w:rsidRDefault="00615EE8" w:rsidP="00556588">
            <w:pPr>
              <w:spacing w:after="0" w:line="240" w:lineRule="auto"/>
              <w:jc w:val="both"/>
              <w:rPr>
                <w:rFonts w:ascii="Arial" w:hAnsi="Arial" w:cs="Arial"/>
                <w:b/>
                <w:bCs/>
              </w:rPr>
            </w:pPr>
            <w:r w:rsidRPr="00EC4C97">
              <w:rPr>
                <w:rFonts w:ascii="Arial" w:hAnsi="Arial" w:cs="Arial"/>
                <w:b/>
                <w:bCs/>
              </w:rPr>
              <w:t>Experience:</w:t>
            </w:r>
          </w:p>
          <w:p w14:paraId="7A1E2805" w14:textId="6AEADDDE" w:rsidR="00E4194C" w:rsidRPr="00EC4C97" w:rsidRDefault="00615EE8" w:rsidP="00556588">
            <w:pPr>
              <w:pStyle w:val="ListParagraph"/>
              <w:numPr>
                <w:ilvl w:val="0"/>
                <w:numId w:val="15"/>
              </w:numPr>
              <w:jc w:val="both"/>
              <w:rPr>
                <w:rFonts w:ascii="Arial" w:hAnsi="Arial" w:cs="Arial"/>
                <w:sz w:val="22"/>
                <w:szCs w:val="22"/>
              </w:rPr>
            </w:pPr>
            <w:r w:rsidRPr="00EC4C97">
              <w:rPr>
                <w:rFonts w:ascii="Arial" w:hAnsi="Arial" w:cs="Arial"/>
                <w:sz w:val="22"/>
                <w:szCs w:val="22"/>
              </w:rPr>
              <w:t>At least 5 years of experience in mixed-methods research in education or social science, preferably in the Somali</w:t>
            </w:r>
            <w:r w:rsidR="00DD033C" w:rsidRPr="00EC4C97">
              <w:rPr>
                <w:rFonts w:ascii="Arial" w:hAnsi="Arial" w:cs="Arial"/>
                <w:sz w:val="22"/>
                <w:szCs w:val="22"/>
              </w:rPr>
              <w:t>a</w:t>
            </w:r>
            <w:r w:rsidRPr="00EC4C97">
              <w:rPr>
                <w:rFonts w:ascii="Arial" w:hAnsi="Arial" w:cs="Arial"/>
                <w:sz w:val="22"/>
                <w:szCs w:val="22"/>
              </w:rPr>
              <w:t xml:space="preserve"> or Horn of Africa </w:t>
            </w:r>
            <w:r w:rsidR="00E4194C" w:rsidRPr="00EC4C97">
              <w:rPr>
                <w:rFonts w:ascii="Arial" w:hAnsi="Arial" w:cs="Arial"/>
                <w:sz w:val="22"/>
                <w:szCs w:val="22"/>
              </w:rPr>
              <w:t xml:space="preserve">context. </w:t>
            </w:r>
          </w:p>
          <w:p w14:paraId="1B220001" w14:textId="7880A3F0" w:rsidR="00FF4A8C" w:rsidRPr="00EC4C97" w:rsidRDefault="00E4194C" w:rsidP="00556588">
            <w:pPr>
              <w:pStyle w:val="ListParagraph"/>
              <w:numPr>
                <w:ilvl w:val="0"/>
                <w:numId w:val="15"/>
              </w:numPr>
              <w:jc w:val="both"/>
              <w:rPr>
                <w:rFonts w:ascii="Arial" w:hAnsi="Arial" w:cs="Arial"/>
                <w:sz w:val="22"/>
                <w:szCs w:val="22"/>
              </w:rPr>
            </w:pPr>
            <w:r w:rsidRPr="00EC4C97">
              <w:rPr>
                <w:rFonts w:ascii="Arial" w:hAnsi="Arial" w:cs="Arial"/>
                <w:sz w:val="22"/>
                <w:szCs w:val="22"/>
              </w:rPr>
              <w:t>Applies</w:t>
            </w:r>
            <w:r w:rsidR="00FF4A8C" w:rsidRPr="00EC4C97">
              <w:rPr>
                <w:rFonts w:ascii="Arial" w:hAnsi="Arial" w:cs="Arial"/>
                <w:sz w:val="22"/>
                <w:szCs w:val="22"/>
              </w:rPr>
              <w:t xml:space="preserve"> rigorous mixed-methods research approaches to ensure scientific credibility and comprehensive, evidence-based analysis across all study components.</w:t>
            </w:r>
          </w:p>
          <w:p w14:paraId="1B220002" w14:textId="1B220002"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Leads the design of data collection instruments and the development of a comprehensive research evaluation framework tailored to the Somali education context.</w:t>
            </w:r>
          </w:p>
          <w:p w14:paraId="1B220003" w14:textId="1B220003"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Collects and analyses data using both quantitative and qualitative methods, ensuring analytical rigour and meaningful interpretation of findings.</w:t>
            </w:r>
          </w:p>
          <w:p w14:paraId="66FC8EB3" w14:textId="17CE751A" w:rsidR="00206A7F"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Contributes to the preparation of detailed research reports with clear, actionable policy recommendations for MOECHE and education partners.</w:t>
            </w:r>
          </w:p>
        </w:tc>
      </w:tr>
      <w:tr w:rsidR="00206A7F" w:rsidRPr="00EC4C97" w14:paraId="30502376" w14:textId="77777777" w:rsidTr="0092411A">
        <w:trPr>
          <w:trHeight w:val="4984"/>
        </w:trPr>
        <w:tc>
          <w:tcPr>
            <w:tcW w:w="620" w:type="dxa"/>
            <w:shd w:val="clear" w:color="auto" w:fill="F2F2F2"/>
          </w:tcPr>
          <w:p w14:paraId="786E2886" w14:textId="77777777" w:rsidR="00206A7F" w:rsidRPr="00EC4C97" w:rsidRDefault="00206A7F" w:rsidP="00556588">
            <w:pPr>
              <w:spacing w:after="0" w:line="240" w:lineRule="auto"/>
              <w:rPr>
                <w:rFonts w:ascii="Arial" w:hAnsi="Arial" w:cs="Arial"/>
                <w:color w:val="000000" w:themeColor="text1"/>
              </w:rPr>
            </w:pPr>
          </w:p>
        </w:tc>
        <w:tc>
          <w:tcPr>
            <w:tcW w:w="3150" w:type="dxa"/>
            <w:shd w:val="clear" w:color="auto" w:fill="F2F2F2"/>
          </w:tcPr>
          <w:p w14:paraId="3515995D" w14:textId="5141B8BC" w:rsidR="00206A7F" w:rsidRPr="00EC4C97" w:rsidRDefault="00233EB2" w:rsidP="00556588">
            <w:pPr>
              <w:spacing w:after="0" w:line="240" w:lineRule="auto"/>
              <w:jc w:val="both"/>
              <w:rPr>
                <w:rFonts w:ascii="Arial" w:hAnsi="Arial" w:cs="Arial"/>
                <w:b/>
                <w:color w:val="000000" w:themeColor="text1"/>
              </w:rPr>
            </w:pPr>
            <w:r w:rsidRPr="00EC4C97">
              <w:rPr>
                <w:rFonts w:ascii="Arial" w:hAnsi="Arial" w:cs="Arial"/>
                <w:b/>
                <w:color w:val="000000" w:themeColor="text1"/>
              </w:rPr>
              <w:t xml:space="preserve">Data Analyst </w:t>
            </w:r>
          </w:p>
        </w:tc>
        <w:tc>
          <w:tcPr>
            <w:tcW w:w="6840" w:type="dxa"/>
            <w:gridSpan w:val="2"/>
          </w:tcPr>
          <w:p w14:paraId="763E3158" w14:textId="77777777" w:rsidR="00615EE8" w:rsidRPr="00EC4C97" w:rsidRDefault="00615EE8" w:rsidP="00556588">
            <w:pPr>
              <w:spacing w:after="0" w:line="240" w:lineRule="auto"/>
              <w:jc w:val="both"/>
              <w:rPr>
                <w:rFonts w:ascii="Arial" w:hAnsi="Arial" w:cs="Arial"/>
                <w:b/>
                <w:bCs/>
              </w:rPr>
            </w:pPr>
            <w:r w:rsidRPr="00EC4C97">
              <w:rPr>
                <w:rFonts w:ascii="Arial" w:hAnsi="Arial" w:cs="Arial"/>
                <w:b/>
                <w:bCs/>
              </w:rPr>
              <w:t>Education:</w:t>
            </w:r>
          </w:p>
          <w:p w14:paraId="4AF800FE" w14:textId="50D693EA" w:rsidR="00615EE8" w:rsidRPr="00EC4C97" w:rsidRDefault="00615EE8" w:rsidP="00556588">
            <w:pPr>
              <w:pStyle w:val="ListParagraph"/>
              <w:numPr>
                <w:ilvl w:val="0"/>
                <w:numId w:val="15"/>
              </w:numPr>
              <w:jc w:val="both"/>
              <w:rPr>
                <w:rFonts w:ascii="Arial" w:hAnsi="Arial" w:cs="Arial"/>
                <w:sz w:val="22"/>
                <w:szCs w:val="22"/>
              </w:rPr>
            </w:pPr>
            <w:r w:rsidRPr="00EC4C97">
              <w:rPr>
                <w:rFonts w:ascii="Arial" w:hAnsi="Arial" w:cs="Arial"/>
                <w:sz w:val="22"/>
                <w:szCs w:val="22"/>
              </w:rPr>
              <w:t xml:space="preserve">Bachelor’s degree (minimum) in Statistics, Data Science, Economics, Mathematics, or a related quantitative field; a </w:t>
            </w:r>
            <w:r w:rsidR="009C1DCE" w:rsidRPr="00EC4C97">
              <w:rPr>
                <w:rFonts w:ascii="Arial" w:hAnsi="Arial" w:cs="Arial"/>
                <w:sz w:val="22"/>
                <w:szCs w:val="22"/>
              </w:rPr>
              <w:t>master’s</w:t>
            </w:r>
            <w:r w:rsidRPr="00EC4C97">
              <w:rPr>
                <w:rFonts w:ascii="Arial" w:hAnsi="Arial" w:cs="Arial"/>
                <w:sz w:val="22"/>
                <w:szCs w:val="22"/>
              </w:rPr>
              <w:t xml:space="preserve"> degree is an added advantage.</w:t>
            </w:r>
          </w:p>
          <w:p w14:paraId="274AEC36" w14:textId="77777777" w:rsidR="00615EE8" w:rsidRPr="00EC4C97" w:rsidRDefault="00615EE8" w:rsidP="00556588">
            <w:pPr>
              <w:spacing w:after="0" w:line="240" w:lineRule="auto"/>
              <w:jc w:val="both"/>
              <w:rPr>
                <w:rFonts w:ascii="Arial" w:hAnsi="Arial" w:cs="Arial"/>
                <w:b/>
                <w:bCs/>
              </w:rPr>
            </w:pPr>
            <w:r w:rsidRPr="00EC4C97">
              <w:rPr>
                <w:rFonts w:ascii="Arial" w:hAnsi="Arial" w:cs="Arial"/>
                <w:b/>
                <w:bCs/>
              </w:rPr>
              <w:t>Experience:</w:t>
            </w:r>
          </w:p>
          <w:p w14:paraId="0054A897" w14:textId="4E8598E7" w:rsidR="00615EE8" w:rsidRPr="00EC4C97" w:rsidRDefault="00615EE8" w:rsidP="00556588">
            <w:pPr>
              <w:pStyle w:val="ListParagraph"/>
              <w:numPr>
                <w:ilvl w:val="0"/>
                <w:numId w:val="15"/>
              </w:numPr>
              <w:jc w:val="both"/>
              <w:rPr>
                <w:rFonts w:ascii="Arial" w:hAnsi="Arial" w:cs="Arial"/>
                <w:sz w:val="22"/>
                <w:szCs w:val="22"/>
              </w:rPr>
            </w:pPr>
            <w:r w:rsidRPr="00EC4C97">
              <w:rPr>
                <w:rFonts w:ascii="Arial" w:hAnsi="Arial" w:cs="Arial"/>
                <w:sz w:val="22"/>
                <w:szCs w:val="22"/>
              </w:rPr>
              <w:t xml:space="preserve">At least </w:t>
            </w:r>
            <w:r w:rsidR="00DD033C" w:rsidRPr="00EC4C97">
              <w:rPr>
                <w:rFonts w:ascii="Arial" w:hAnsi="Arial" w:cs="Arial"/>
                <w:sz w:val="22"/>
                <w:szCs w:val="22"/>
              </w:rPr>
              <w:t xml:space="preserve">5 </w:t>
            </w:r>
            <w:r w:rsidRPr="00EC4C97">
              <w:rPr>
                <w:rFonts w:ascii="Arial" w:hAnsi="Arial" w:cs="Arial"/>
                <w:sz w:val="22"/>
                <w:szCs w:val="22"/>
              </w:rPr>
              <w:t>years of experience analysing education or social science datasets, with demonstrated proficiency in statistical software (e.g., SPSS, Stata, R) and qualitative data tools (e.g., NVivo).</w:t>
            </w:r>
          </w:p>
          <w:p w14:paraId="1C330001" w14:textId="1C330001"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Manages, cleans, and analyses all quantitative and qualitative data collected during the study, ensuring accuracy, consistency, and data integrity throughout.</w:t>
            </w:r>
          </w:p>
          <w:p w14:paraId="1C330002" w14:textId="1C330002" w:rsidR="00FF4A8C"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Develops and maintains the data management system; performs statistical analyses of learning outcome assessments and survey data.</w:t>
            </w:r>
          </w:p>
          <w:p w14:paraId="1C330099" w14:textId="64F163A7" w:rsidR="00206A7F" w:rsidRPr="00EC4C97" w:rsidRDefault="00FF4A8C" w:rsidP="00556588">
            <w:pPr>
              <w:pStyle w:val="ListParagraph"/>
              <w:numPr>
                <w:ilvl w:val="0"/>
                <w:numId w:val="15"/>
              </w:numPr>
              <w:jc w:val="both"/>
              <w:rPr>
                <w:rFonts w:ascii="Arial" w:hAnsi="Arial" w:cs="Arial"/>
                <w:sz w:val="22"/>
                <w:szCs w:val="22"/>
              </w:rPr>
            </w:pPr>
            <w:r w:rsidRPr="00EC4C97">
              <w:rPr>
                <w:rFonts w:ascii="Arial" w:hAnsi="Arial" w:cs="Arial"/>
                <w:sz w:val="22"/>
                <w:szCs w:val="22"/>
              </w:rPr>
              <w:t>Produces data visualisations and disaggregated tables (by gender, disability, IDP/non-IDP status, and urban/rural location) to support equity-focused analysis and reporting.</w:t>
            </w:r>
          </w:p>
        </w:tc>
      </w:tr>
      <w:tr w:rsidR="004C53D3" w:rsidRPr="00EC4C97" w14:paraId="69471013" w14:textId="77777777" w:rsidTr="005D6243">
        <w:trPr>
          <w:trHeight w:val="44"/>
        </w:trPr>
        <w:tc>
          <w:tcPr>
            <w:tcW w:w="620" w:type="dxa"/>
            <w:shd w:val="clear" w:color="auto" w:fill="F2F2F2"/>
          </w:tcPr>
          <w:p w14:paraId="69471010" w14:textId="77777777" w:rsidR="004C53D3" w:rsidRPr="00EC4C97" w:rsidRDefault="004C53D3" w:rsidP="00556588">
            <w:pPr>
              <w:spacing w:after="0" w:line="240" w:lineRule="auto"/>
              <w:rPr>
                <w:rFonts w:ascii="Arial" w:hAnsi="Arial" w:cs="Arial"/>
                <w:color w:val="000000" w:themeColor="text1"/>
              </w:rPr>
            </w:pPr>
          </w:p>
        </w:tc>
        <w:tc>
          <w:tcPr>
            <w:tcW w:w="9990" w:type="dxa"/>
            <w:gridSpan w:val="3"/>
            <w:shd w:val="clear" w:color="auto" w:fill="F2F2F2"/>
          </w:tcPr>
          <w:p w14:paraId="69471012" w14:textId="501DFF9F" w:rsidR="004C53D3" w:rsidRPr="00EC4C97" w:rsidRDefault="004C53D3" w:rsidP="00556588">
            <w:pPr>
              <w:spacing w:after="0" w:line="240" w:lineRule="auto"/>
              <w:jc w:val="both"/>
              <w:rPr>
                <w:rFonts w:ascii="Arial" w:hAnsi="Arial" w:cs="Arial"/>
                <w:b/>
                <w:bCs/>
                <w:color w:val="000000" w:themeColor="text1"/>
              </w:rPr>
            </w:pPr>
          </w:p>
        </w:tc>
      </w:tr>
      <w:tr w:rsidR="00B23602" w:rsidRPr="00EC4C97" w14:paraId="69471049" w14:textId="77777777" w:rsidTr="0092411A">
        <w:trPr>
          <w:trHeight w:hRule="exact" w:val="686"/>
        </w:trPr>
        <w:tc>
          <w:tcPr>
            <w:tcW w:w="620" w:type="dxa"/>
            <w:tcBorders>
              <w:bottom w:val="single" w:sz="4" w:space="0" w:color="auto"/>
            </w:tcBorders>
            <w:shd w:val="clear" w:color="auto" w:fill="F2F2F2"/>
          </w:tcPr>
          <w:p w14:paraId="69471046" w14:textId="77777777" w:rsidR="00B23602" w:rsidRPr="00EC4C97" w:rsidRDefault="00B23602" w:rsidP="00556588">
            <w:pPr>
              <w:spacing w:after="0" w:line="240" w:lineRule="auto"/>
              <w:rPr>
                <w:rFonts w:ascii="Arial" w:hAnsi="Arial" w:cs="Arial"/>
                <w:color w:val="000000" w:themeColor="text1"/>
              </w:rPr>
            </w:pPr>
          </w:p>
        </w:tc>
        <w:tc>
          <w:tcPr>
            <w:tcW w:w="9990" w:type="dxa"/>
            <w:gridSpan w:val="3"/>
            <w:tcBorders>
              <w:bottom w:val="single" w:sz="4" w:space="0" w:color="auto"/>
            </w:tcBorders>
            <w:shd w:val="clear" w:color="auto" w:fill="F2F2F2"/>
          </w:tcPr>
          <w:p w14:paraId="69471047" w14:textId="7B5ED6A9"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EVALUATION CRITERIA</w:t>
            </w:r>
          </w:p>
          <w:p w14:paraId="69471048" w14:textId="1BBE1CB1" w:rsidR="00B23602" w:rsidRPr="00EC4C97" w:rsidRDefault="00B60DB0" w:rsidP="00556588">
            <w:pPr>
              <w:spacing w:after="0" w:line="240" w:lineRule="auto"/>
              <w:jc w:val="both"/>
              <w:rPr>
                <w:rFonts w:ascii="Arial" w:hAnsi="Arial" w:cs="Arial"/>
                <w:bCs/>
                <w:color w:val="000000" w:themeColor="text1"/>
              </w:rPr>
            </w:pPr>
            <w:r w:rsidRPr="00EC4C97">
              <w:rPr>
                <w:rFonts w:ascii="Arial" w:hAnsi="Arial" w:cs="Arial"/>
                <w:bCs/>
                <w:color w:val="000000" w:themeColor="text1"/>
              </w:rPr>
              <w:t>The proposals submitted by consultant firms will be evaluated based on the following criteria:</w:t>
            </w:r>
          </w:p>
        </w:tc>
      </w:tr>
      <w:tr w:rsidR="00B23602" w:rsidRPr="00EC4C97" w14:paraId="6947104D" w14:textId="77777777" w:rsidTr="00B84B55">
        <w:trPr>
          <w:trHeight w:hRule="exact" w:val="362"/>
        </w:trPr>
        <w:tc>
          <w:tcPr>
            <w:tcW w:w="620" w:type="dxa"/>
            <w:tcBorders>
              <w:bottom w:val="single" w:sz="4" w:space="0" w:color="auto"/>
            </w:tcBorders>
            <w:shd w:val="clear" w:color="auto" w:fill="F2F2F2"/>
          </w:tcPr>
          <w:p w14:paraId="6947104A" w14:textId="77777777" w:rsidR="00B23602" w:rsidRPr="00EC4C97" w:rsidRDefault="00B23602" w:rsidP="00556588">
            <w:pPr>
              <w:spacing w:after="0" w:line="240" w:lineRule="auto"/>
              <w:rPr>
                <w:rFonts w:ascii="Arial" w:hAnsi="Arial" w:cs="Arial"/>
                <w:color w:val="000000" w:themeColor="text1"/>
              </w:rPr>
            </w:pPr>
          </w:p>
        </w:tc>
        <w:tc>
          <w:tcPr>
            <w:tcW w:w="7290" w:type="dxa"/>
            <w:gridSpan w:val="2"/>
            <w:tcBorders>
              <w:bottom w:val="single" w:sz="4" w:space="0" w:color="auto"/>
            </w:tcBorders>
            <w:shd w:val="clear" w:color="auto" w:fill="F2F2F2"/>
          </w:tcPr>
          <w:p w14:paraId="6947104B" w14:textId="77777777"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 xml:space="preserve">Essential Criteria </w:t>
            </w:r>
          </w:p>
        </w:tc>
        <w:tc>
          <w:tcPr>
            <w:tcW w:w="2700" w:type="dxa"/>
            <w:tcBorders>
              <w:bottom w:val="single" w:sz="4" w:space="0" w:color="auto"/>
            </w:tcBorders>
          </w:tcPr>
          <w:p w14:paraId="6947104C" w14:textId="77777777"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 xml:space="preserve">Pass/Fail </w:t>
            </w:r>
          </w:p>
        </w:tc>
      </w:tr>
      <w:tr w:rsidR="001B3581" w:rsidRPr="00EC4C97" w14:paraId="73600B3B" w14:textId="77777777" w:rsidTr="00DD5ACA">
        <w:trPr>
          <w:trHeight w:hRule="exact" w:val="2054"/>
        </w:trPr>
        <w:tc>
          <w:tcPr>
            <w:tcW w:w="620" w:type="dxa"/>
            <w:tcBorders>
              <w:bottom w:val="single" w:sz="4" w:space="0" w:color="auto"/>
            </w:tcBorders>
            <w:shd w:val="clear" w:color="auto" w:fill="F2F2F2"/>
          </w:tcPr>
          <w:p w14:paraId="262974B0" w14:textId="77777777" w:rsidR="001B3581" w:rsidRPr="00EC4C97" w:rsidRDefault="001B3581" w:rsidP="00556588">
            <w:pPr>
              <w:spacing w:after="0" w:line="240" w:lineRule="auto"/>
              <w:rPr>
                <w:rFonts w:ascii="Arial" w:hAnsi="Arial" w:cs="Arial"/>
                <w:color w:val="000000" w:themeColor="text1"/>
              </w:rPr>
            </w:pPr>
          </w:p>
        </w:tc>
        <w:tc>
          <w:tcPr>
            <w:tcW w:w="7290" w:type="dxa"/>
            <w:gridSpan w:val="2"/>
            <w:tcBorders>
              <w:bottom w:val="single" w:sz="4" w:space="0" w:color="auto"/>
            </w:tcBorders>
            <w:shd w:val="clear" w:color="auto" w:fill="F2F2F2"/>
          </w:tcPr>
          <w:p w14:paraId="469BC939" w14:textId="0800832F" w:rsidR="001B3581" w:rsidRPr="00EC4C97" w:rsidRDefault="001B3581" w:rsidP="00556588">
            <w:pPr>
              <w:spacing w:after="0" w:line="240" w:lineRule="auto"/>
              <w:jc w:val="both"/>
              <w:rPr>
                <w:rFonts w:ascii="Arial" w:hAnsi="Arial" w:cs="Arial"/>
                <w:bCs/>
                <w:color w:val="000000" w:themeColor="text1"/>
              </w:rPr>
            </w:pPr>
            <w:r w:rsidRPr="00EC4C97">
              <w:rPr>
                <w:rFonts w:ascii="Arial" w:hAnsi="Arial" w:cs="Arial"/>
                <w:bCs/>
                <w:color w:val="000000" w:themeColor="text1"/>
              </w:rPr>
              <w:t xml:space="preserve">The Bidder and its staff agree and Sign to comply with </w:t>
            </w:r>
            <w:r w:rsidR="00DD033C" w:rsidRPr="00EC4C97">
              <w:rPr>
                <w:rFonts w:ascii="Arial" w:hAnsi="Arial" w:cs="Arial"/>
                <w:bCs/>
                <w:color w:val="000000" w:themeColor="text1"/>
              </w:rPr>
              <w:t xml:space="preserve">the government and </w:t>
            </w:r>
            <w:r w:rsidRPr="00EC4C97">
              <w:rPr>
                <w:rFonts w:ascii="Arial" w:hAnsi="Arial" w:cs="Arial"/>
                <w:bCs/>
                <w:color w:val="000000" w:themeColor="text1"/>
              </w:rPr>
              <w:t xml:space="preserve">SCI policies embedded below at this ITB. The Bidder is to download below listed items, read, understand and </w:t>
            </w:r>
            <w:r w:rsidRPr="00EC4C97">
              <w:rPr>
                <w:rFonts w:ascii="Arial" w:hAnsi="Arial" w:cs="Arial"/>
                <w:b/>
                <w:color w:val="000000" w:themeColor="text1"/>
              </w:rPr>
              <w:t>sign off and stamp appropriate section in below</w:t>
            </w:r>
            <w:r w:rsidRPr="00EC4C97">
              <w:rPr>
                <w:rFonts w:ascii="Arial" w:hAnsi="Arial" w:cs="Arial"/>
                <w:bCs/>
                <w:color w:val="000000" w:themeColor="text1"/>
              </w:rPr>
              <w:t>.</w:t>
            </w:r>
          </w:p>
          <w:p w14:paraId="61837409" w14:textId="77777777" w:rsidR="001B3581" w:rsidRPr="00EC4C97" w:rsidRDefault="001B3581" w:rsidP="00556588">
            <w:pPr>
              <w:spacing w:after="0" w:line="240" w:lineRule="auto"/>
              <w:jc w:val="both"/>
              <w:rPr>
                <w:rFonts w:ascii="Arial" w:hAnsi="Arial" w:cs="Arial"/>
                <w:bCs/>
                <w:color w:val="000000" w:themeColor="text1"/>
              </w:rPr>
            </w:pPr>
            <w:r w:rsidRPr="00EC4C97">
              <w:rPr>
                <w:rFonts w:ascii="Arial" w:hAnsi="Arial" w:cs="Arial"/>
                <w:bCs/>
                <w:color w:val="000000" w:themeColor="text1"/>
              </w:rPr>
              <w:t>a) Terms &amp; Conditions of Bidding</w:t>
            </w:r>
          </w:p>
          <w:p w14:paraId="0B075F6E" w14:textId="77777777" w:rsidR="001B3581" w:rsidRPr="00EC4C97" w:rsidRDefault="001B3581" w:rsidP="00556588">
            <w:pPr>
              <w:spacing w:after="0" w:line="240" w:lineRule="auto"/>
              <w:jc w:val="both"/>
              <w:rPr>
                <w:rFonts w:ascii="Arial" w:hAnsi="Arial" w:cs="Arial"/>
                <w:bCs/>
                <w:color w:val="000000" w:themeColor="text1"/>
              </w:rPr>
            </w:pPr>
            <w:r w:rsidRPr="00EC4C97">
              <w:rPr>
                <w:rFonts w:ascii="Arial" w:hAnsi="Arial" w:cs="Arial"/>
                <w:bCs/>
                <w:color w:val="000000" w:themeColor="text1"/>
              </w:rPr>
              <w:t>b) Supplier Sustainability Policy and the included mandatory policies</w:t>
            </w:r>
          </w:p>
          <w:p w14:paraId="1F6E4667" w14:textId="77777777" w:rsidR="001B3581" w:rsidRPr="00EC4C97" w:rsidRDefault="001B3581" w:rsidP="00556588">
            <w:pPr>
              <w:spacing w:after="0" w:line="240" w:lineRule="auto"/>
              <w:jc w:val="both"/>
              <w:rPr>
                <w:rFonts w:ascii="Arial" w:hAnsi="Arial" w:cs="Arial"/>
                <w:b/>
                <w:color w:val="000000" w:themeColor="text1"/>
              </w:rPr>
            </w:pPr>
          </w:p>
        </w:tc>
        <w:tc>
          <w:tcPr>
            <w:tcW w:w="2700" w:type="dxa"/>
            <w:tcBorders>
              <w:bottom w:val="single" w:sz="4" w:space="0" w:color="auto"/>
            </w:tcBorders>
          </w:tcPr>
          <w:p w14:paraId="4D4AC91C" w14:textId="77777777" w:rsidR="001B3581" w:rsidRPr="00EC4C97" w:rsidRDefault="001B3581" w:rsidP="00556588">
            <w:pPr>
              <w:spacing w:after="0" w:line="240" w:lineRule="auto"/>
              <w:jc w:val="center"/>
              <w:rPr>
                <w:rFonts w:ascii="Arial" w:hAnsi="Arial" w:cs="Arial"/>
                <w:b/>
                <w:color w:val="000000" w:themeColor="text1"/>
              </w:rPr>
            </w:pPr>
          </w:p>
          <w:p w14:paraId="57A754CB" w14:textId="77777777" w:rsidR="001B3581" w:rsidRPr="00EC4C97" w:rsidRDefault="001B3581" w:rsidP="00556588">
            <w:pPr>
              <w:spacing w:after="0" w:line="240" w:lineRule="auto"/>
              <w:jc w:val="center"/>
              <w:rPr>
                <w:rFonts w:ascii="Arial" w:hAnsi="Arial" w:cs="Arial"/>
                <w:b/>
                <w:color w:val="000000" w:themeColor="text1"/>
              </w:rPr>
            </w:pPr>
          </w:p>
          <w:p w14:paraId="6D111613" w14:textId="77777777" w:rsidR="001B3581" w:rsidRPr="00EC4C97" w:rsidRDefault="001B3581" w:rsidP="00556588">
            <w:pPr>
              <w:spacing w:after="0" w:line="240" w:lineRule="auto"/>
              <w:jc w:val="center"/>
              <w:rPr>
                <w:rFonts w:ascii="Arial" w:hAnsi="Arial" w:cs="Arial"/>
                <w:b/>
                <w:color w:val="000000" w:themeColor="text1"/>
              </w:rPr>
            </w:pPr>
          </w:p>
          <w:p w14:paraId="648F9550" w14:textId="496CC6BD" w:rsidR="001B3581" w:rsidRPr="00EC4C97" w:rsidRDefault="001B3581" w:rsidP="00556588">
            <w:pPr>
              <w:spacing w:after="0" w:line="240" w:lineRule="auto"/>
              <w:jc w:val="center"/>
              <w:rPr>
                <w:rFonts w:ascii="Arial" w:hAnsi="Arial" w:cs="Arial"/>
                <w:b/>
                <w:color w:val="000000" w:themeColor="text1"/>
              </w:rPr>
            </w:pPr>
            <w:r w:rsidRPr="00EC4C97">
              <w:rPr>
                <w:rFonts w:ascii="Arial" w:hAnsi="Arial" w:cs="Arial"/>
                <w:b/>
                <w:color w:val="000000" w:themeColor="text1"/>
              </w:rPr>
              <w:t>Pass/Fail</w:t>
            </w:r>
          </w:p>
        </w:tc>
      </w:tr>
      <w:tr w:rsidR="00B23602" w:rsidRPr="00EC4C97" w14:paraId="69471058" w14:textId="77777777" w:rsidTr="00EC4C97">
        <w:trPr>
          <w:trHeight w:hRule="exact" w:val="1775"/>
        </w:trPr>
        <w:tc>
          <w:tcPr>
            <w:tcW w:w="620" w:type="dxa"/>
            <w:tcBorders>
              <w:bottom w:val="single" w:sz="4" w:space="0" w:color="auto"/>
            </w:tcBorders>
            <w:shd w:val="clear" w:color="auto" w:fill="F2F2F2"/>
          </w:tcPr>
          <w:p w14:paraId="69471055" w14:textId="769318AB" w:rsidR="00B23602" w:rsidRPr="00EC4C97" w:rsidRDefault="004F3EDB" w:rsidP="00556588">
            <w:pPr>
              <w:spacing w:after="0" w:line="240" w:lineRule="auto"/>
              <w:jc w:val="center"/>
              <w:rPr>
                <w:rFonts w:ascii="Arial" w:hAnsi="Arial" w:cs="Arial"/>
                <w:color w:val="000000" w:themeColor="text1"/>
              </w:rPr>
            </w:pPr>
            <w:r w:rsidRPr="00EC4C97">
              <w:rPr>
                <w:rFonts w:ascii="Arial" w:hAnsi="Arial" w:cs="Arial"/>
                <w:color w:val="000000" w:themeColor="text1"/>
              </w:rPr>
              <w:t>1</w:t>
            </w:r>
          </w:p>
        </w:tc>
        <w:tc>
          <w:tcPr>
            <w:tcW w:w="7290" w:type="dxa"/>
            <w:gridSpan w:val="2"/>
            <w:tcBorders>
              <w:bottom w:val="single" w:sz="4" w:space="0" w:color="auto"/>
            </w:tcBorders>
            <w:shd w:val="clear" w:color="auto" w:fill="F2F2F2"/>
          </w:tcPr>
          <w:p w14:paraId="6F412FA7" w14:textId="77777777" w:rsidR="00EC4C97" w:rsidRDefault="00EC4C97" w:rsidP="00556588">
            <w:pPr>
              <w:spacing w:after="0" w:line="240" w:lineRule="auto"/>
              <w:jc w:val="both"/>
              <w:rPr>
                <w:rFonts w:ascii="Arial" w:hAnsi="Arial" w:cs="Arial"/>
                <w:bCs/>
                <w:color w:val="000000" w:themeColor="text1"/>
              </w:rPr>
            </w:pPr>
          </w:p>
          <w:p w14:paraId="55641B6E" w14:textId="27BF4184" w:rsidR="00BC678E" w:rsidRPr="00EC4C97" w:rsidRDefault="0039520D" w:rsidP="00556588">
            <w:pPr>
              <w:spacing w:after="0" w:line="240" w:lineRule="auto"/>
              <w:jc w:val="both"/>
              <w:rPr>
                <w:rFonts w:ascii="Arial" w:hAnsi="Arial" w:cs="Arial"/>
                <w:bCs/>
                <w:color w:val="000000" w:themeColor="text1"/>
              </w:rPr>
            </w:pPr>
            <w:r w:rsidRPr="00EC4C97">
              <w:rPr>
                <w:rFonts w:ascii="Arial" w:hAnsi="Arial" w:cs="Arial"/>
                <w:bCs/>
                <w:color w:val="000000" w:themeColor="text1"/>
              </w:rPr>
              <w:t xml:space="preserve">If the consultant operates as a firm, a valid </w:t>
            </w:r>
            <w:r w:rsidRPr="00EC4C97">
              <w:rPr>
                <w:rFonts w:ascii="Arial" w:hAnsi="Arial" w:cs="Arial"/>
                <w:bCs/>
              </w:rPr>
              <w:t xml:space="preserve">Commercial License issued by the Ministry of Commerce and Industry </w:t>
            </w:r>
            <w:r w:rsidRPr="00EC4C97">
              <w:rPr>
                <w:rFonts w:ascii="Arial" w:hAnsi="Arial" w:cs="Arial"/>
                <w:bCs/>
                <w:color w:val="000000" w:themeColor="text1"/>
              </w:rPr>
              <w:t>of the Federal Government of Somalia is required</w:t>
            </w:r>
            <w:r w:rsidR="003B3939" w:rsidRPr="00EC4C97">
              <w:rPr>
                <w:rFonts w:ascii="Arial" w:hAnsi="Arial" w:cs="Arial"/>
                <w:bCs/>
                <w:color w:val="000000" w:themeColor="text1"/>
              </w:rPr>
              <w:t xml:space="preserve">. If </w:t>
            </w:r>
            <w:r w:rsidR="00EC4C97" w:rsidRPr="00EC4C97">
              <w:rPr>
                <w:rFonts w:ascii="Arial" w:hAnsi="Arial" w:cs="Arial"/>
                <w:bCs/>
                <w:color w:val="000000" w:themeColor="text1"/>
              </w:rPr>
              <w:t>Research</w:t>
            </w:r>
            <w:r w:rsidR="003B3939" w:rsidRPr="00EC4C97">
              <w:rPr>
                <w:rFonts w:ascii="Arial" w:hAnsi="Arial" w:cs="Arial"/>
                <w:bCs/>
                <w:color w:val="000000" w:themeColor="text1"/>
              </w:rPr>
              <w:t xml:space="preserve"> institution, a valid registration license from MOECHE.</w:t>
            </w:r>
          </w:p>
          <w:p w14:paraId="69471056" w14:textId="7C7D3030" w:rsidR="00533207" w:rsidRPr="00EC4C97" w:rsidRDefault="00533207" w:rsidP="00556588">
            <w:pPr>
              <w:spacing w:after="0" w:line="240" w:lineRule="auto"/>
              <w:jc w:val="both"/>
              <w:rPr>
                <w:rFonts w:ascii="Arial" w:hAnsi="Arial" w:cs="Arial"/>
                <w:bCs/>
                <w:color w:val="000000" w:themeColor="text1"/>
              </w:rPr>
            </w:pPr>
          </w:p>
        </w:tc>
        <w:tc>
          <w:tcPr>
            <w:tcW w:w="2700" w:type="dxa"/>
            <w:tcBorders>
              <w:bottom w:val="single" w:sz="4" w:space="0" w:color="auto"/>
            </w:tcBorders>
            <w:vAlign w:val="center"/>
          </w:tcPr>
          <w:p w14:paraId="69471057" w14:textId="749ECCE2" w:rsidR="00B23602" w:rsidRPr="00EC4C97" w:rsidRDefault="00533207" w:rsidP="00556588">
            <w:pPr>
              <w:spacing w:after="0" w:line="240" w:lineRule="auto"/>
              <w:jc w:val="center"/>
              <w:rPr>
                <w:rFonts w:ascii="Arial" w:hAnsi="Arial" w:cs="Arial"/>
                <w:b/>
                <w:color w:val="000000" w:themeColor="text1"/>
              </w:rPr>
            </w:pPr>
            <w:r w:rsidRPr="00EC4C97">
              <w:rPr>
                <w:rFonts w:ascii="Arial" w:hAnsi="Arial" w:cs="Arial"/>
                <w:b/>
                <w:color w:val="000000" w:themeColor="text1"/>
              </w:rPr>
              <w:t>Pass/Fail</w:t>
            </w:r>
          </w:p>
        </w:tc>
      </w:tr>
      <w:tr w:rsidR="00B23602" w:rsidRPr="00EC4C97" w14:paraId="6947105C" w14:textId="77777777" w:rsidTr="00EC4C97">
        <w:trPr>
          <w:trHeight w:hRule="exact" w:val="1631"/>
        </w:trPr>
        <w:tc>
          <w:tcPr>
            <w:tcW w:w="620" w:type="dxa"/>
            <w:tcBorders>
              <w:bottom w:val="single" w:sz="4" w:space="0" w:color="auto"/>
            </w:tcBorders>
            <w:shd w:val="clear" w:color="auto" w:fill="F2F2F2"/>
          </w:tcPr>
          <w:p w14:paraId="69471059" w14:textId="4D0EC5CC" w:rsidR="00B23602" w:rsidRPr="00EC4C97" w:rsidRDefault="004F3EDB" w:rsidP="00556588">
            <w:pPr>
              <w:spacing w:after="0" w:line="240" w:lineRule="auto"/>
              <w:jc w:val="center"/>
              <w:rPr>
                <w:rFonts w:ascii="Arial" w:hAnsi="Arial" w:cs="Arial"/>
                <w:color w:val="000000" w:themeColor="text1"/>
              </w:rPr>
            </w:pPr>
            <w:r w:rsidRPr="00EC4C97">
              <w:rPr>
                <w:rFonts w:ascii="Arial" w:hAnsi="Arial" w:cs="Arial"/>
                <w:color w:val="000000" w:themeColor="text1"/>
              </w:rPr>
              <w:t>2</w:t>
            </w:r>
          </w:p>
        </w:tc>
        <w:tc>
          <w:tcPr>
            <w:tcW w:w="7290" w:type="dxa"/>
            <w:gridSpan w:val="2"/>
            <w:tcBorders>
              <w:bottom w:val="single" w:sz="4" w:space="0" w:color="auto"/>
            </w:tcBorders>
            <w:shd w:val="clear" w:color="auto" w:fill="F2F2F2"/>
          </w:tcPr>
          <w:p w14:paraId="68E41DF8" w14:textId="77777777" w:rsidR="00EC4C97" w:rsidRDefault="00EC4C97" w:rsidP="00556588">
            <w:pPr>
              <w:spacing w:after="0" w:line="240" w:lineRule="auto"/>
              <w:jc w:val="both"/>
              <w:rPr>
                <w:rFonts w:ascii="Arial" w:hAnsi="Arial" w:cs="Arial"/>
                <w:bCs/>
                <w:color w:val="000000" w:themeColor="text1"/>
              </w:rPr>
            </w:pPr>
          </w:p>
          <w:p w14:paraId="0C28042A" w14:textId="261E064A" w:rsidR="00BC678E" w:rsidRPr="00EC4C97" w:rsidRDefault="00B60DB0" w:rsidP="00556588">
            <w:pPr>
              <w:spacing w:after="0" w:line="240" w:lineRule="auto"/>
              <w:jc w:val="both"/>
              <w:rPr>
                <w:rFonts w:ascii="Arial" w:hAnsi="Arial" w:cs="Arial"/>
                <w:bCs/>
                <w:color w:val="000000" w:themeColor="text1"/>
              </w:rPr>
            </w:pPr>
            <w:r w:rsidRPr="00EC4C97">
              <w:rPr>
                <w:rFonts w:ascii="Arial" w:hAnsi="Arial" w:cs="Arial"/>
                <w:bCs/>
                <w:color w:val="000000" w:themeColor="text1"/>
              </w:rPr>
              <w:t xml:space="preserve">A valid Tax Compliance Certificate from the Ministry of Finance and Industry - Federal Government of Somalia is required from the Firm with good standing of </w:t>
            </w:r>
            <w:r w:rsidRPr="00EC4C97">
              <w:rPr>
                <w:rFonts w:ascii="Arial" w:hAnsi="Arial" w:cs="Arial"/>
                <w:b/>
                <w:color w:val="000000" w:themeColor="text1"/>
              </w:rPr>
              <w:t>Q1</w:t>
            </w:r>
            <w:r w:rsidR="001A1D08" w:rsidRPr="00EC4C97">
              <w:rPr>
                <w:rFonts w:ascii="Arial" w:hAnsi="Arial" w:cs="Arial"/>
                <w:b/>
                <w:color w:val="000000" w:themeColor="text1"/>
              </w:rPr>
              <w:t>-Q2</w:t>
            </w:r>
            <w:r w:rsidRPr="00EC4C97">
              <w:rPr>
                <w:rFonts w:ascii="Arial" w:hAnsi="Arial" w:cs="Arial"/>
                <w:b/>
                <w:color w:val="000000" w:themeColor="text1"/>
              </w:rPr>
              <w:t xml:space="preserve"> 2026</w:t>
            </w:r>
            <w:r w:rsidR="00910362" w:rsidRPr="00EC4C97">
              <w:rPr>
                <w:rFonts w:ascii="Arial" w:hAnsi="Arial" w:cs="Arial"/>
                <w:b/>
                <w:color w:val="000000" w:themeColor="text1"/>
              </w:rPr>
              <w:t>.</w:t>
            </w:r>
          </w:p>
          <w:p w14:paraId="09733CE4" w14:textId="76347055" w:rsidR="00B23602" w:rsidRPr="00EC4C97" w:rsidRDefault="00B23602" w:rsidP="00556588">
            <w:pPr>
              <w:spacing w:after="0" w:line="240" w:lineRule="auto"/>
              <w:jc w:val="both"/>
              <w:rPr>
                <w:rFonts w:ascii="Arial" w:hAnsi="Arial" w:cs="Arial"/>
                <w:bCs/>
                <w:color w:val="000000" w:themeColor="text1"/>
              </w:rPr>
            </w:pPr>
          </w:p>
          <w:p w14:paraId="2CCBC930" w14:textId="64A262F4" w:rsidR="00055081" w:rsidRDefault="00055081" w:rsidP="00556588">
            <w:pPr>
              <w:spacing w:after="0" w:line="240" w:lineRule="auto"/>
              <w:jc w:val="both"/>
              <w:rPr>
                <w:rFonts w:ascii="Arial" w:hAnsi="Arial" w:cs="Arial"/>
                <w:bCs/>
                <w:color w:val="000000" w:themeColor="text1"/>
              </w:rPr>
            </w:pPr>
          </w:p>
          <w:p w14:paraId="4E87668D" w14:textId="77777777" w:rsidR="00EC4C97" w:rsidRDefault="00EC4C97" w:rsidP="00556588">
            <w:pPr>
              <w:spacing w:after="0" w:line="240" w:lineRule="auto"/>
              <w:jc w:val="both"/>
              <w:rPr>
                <w:rFonts w:ascii="Arial" w:hAnsi="Arial" w:cs="Arial"/>
                <w:bCs/>
                <w:color w:val="000000" w:themeColor="text1"/>
              </w:rPr>
            </w:pPr>
          </w:p>
          <w:p w14:paraId="3C434598" w14:textId="77777777" w:rsidR="00EC4C97" w:rsidRPr="00EC4C97" w:rsidRDefault="00EC4C97" w:rsidP="00556588">
            <w:pPr>
              <w:spacing w:after="0" w:line="240" w:lineRule="auto"/>
              <w:jc w:val="both"/>
              <w:rPr>
                <w:rFonts w:ascii="Arial" w:hAnsi="Arial" w:cs="Arial"/>
                <w:bCs/>
                <w:color w:val="000000" w:themeColor="text1"/>
              </w:rPr>
            </w:pPr>
          </w:p>
          <w:p w14:paraId="35D021DE" w14:textId="77777777" w:rsidR="00055081" w:rsidRPr="00EC4C97" w:rsidRDefault="00055081" w:rsidP="00556588">
            <w:pPr>
              <w:spacing w:after="0" w:line="240" w:lineRule="auto"/>
              <w:jc w:val="both"/>
              <w:rPr>
                <w:rFonts w:ascii="Arial" w:hAnsi="Arial" w:cs="Arial"/>
                <w:bCs/>
                <w:color w:val="000000" w:themeColor="text1"/>
              </w:rPr>
            </w:pPr>
          </w:p>
          <w:p w14:paraId="58F934A7" w14:textId="77777777" w:rsidR="00055081" w:rsidRPr="00EC4C97" w:rsidRDefault="00055081" w:rsidP="00556588">
            <w:pPr>
              <w:spacing w:after="0" w:line="240" w:lineRule="auto"/>
              <w:jc w:val="both"/>
              <w:rPr>
                <w:rFonts w:ascii="Arial" w:hAnsi="Arial" w:cs="Arial"/>
                <w:bCs/>
                <w:color w:val="000000" w:themeColor="text1"/>
              </w:rPr>
            </w:pPr>
          </w:p>
          <w:p w14:paraId="6947105A" w14:textId="77777777" w:rsidR="00055081" w:rsidRPr="00EC4C97" w:rsidRDefault="00055081" w:rsidP="00556588">
            <w:pPr>
              <w:spacing w:after="0" w:line="240" w:lineRule="auto"/>
              <w:jc w:val="both"/>
              <w:rPr>
                <w:rFonts w:ascii="Arial" w:hAnsi="Arial" w:cs="Arial"/>
                <w:bCs/>
                <w:color w:val="000000" w:themeColor="text1"/>
              </w:rPr>
            </w:pPr>
          </w:p>
        </w:tc>
        <w:tc>
          <w:tcPr>
            <w:tcW w:w="2700" w:type="dxa"/>
            <w:tcBorders>
              <w:bottom w:val="single" w:sz="4" w:space="0" w:color="auto"/>
            </w:tcBorders>
            <w:vAlign w:val="center"/>
          </w:tcPr>
          <w:p w14:paraId="6947105B" w14:textId="4B6D811C" w:rsidR="00B23602" w:rsidRPr="00EC4C97" w:rsidRDefault="00533207" w:rsidP="00556588">
            <w:pPr>
              <w:spacing w:after="0" w:line="240" w:lineRule="auto"/>
              <w:jc w:val="center"/>
              <w:rPr>
                <w:rFonts w:ascii="Arial" w:hAnsi="Arial" w:cs="Arial"/>
                <w:b/>
                <w:color w:val="000000" w:themeColor="text1"/>
              </w:rPr>
            </w:pPr>
            <w:r w:rsidRPr="00EC4C97">
              <w:rPr>
                <w:rFonts w:ascii="Arial" w:hAnsi="Arial" w:cs="Arial"/>
                <w:b/>
                <w:color w:val="000000" w:themeColor="text1"/>
              </w:rPr>
              <w:t>Pass/Fail</w:t>
            </w:r>
          </w:p>
        </w:tc>
      </w:tr>
      <w:tr w:rsidR="00B23602" w:rsidRPr="00EC4C97" w14:paraId="6947105F" w14:textId="77777777" w:rsidTr="005D6243">
        <w:trPr>
          <w:trHeight w:hRule="exact" w:val="344"/>
        </w:trPr>
        <w:tc>
          <w:tcPr>
            <w:tcW w:w="620" w:type="dxa"/>
            <w:tcBorders>
              <w:bottom w:val="single" w:sz="4" w:space="0" w:color="auto"/>
            </w:tcBorders>
            <w:shd w:val="clear" w:color="auto" w:fill="F2F2F2"/>
          </w:tcPr>
          <w:p w14:paraId="6947105D" w14:textId="77777777" w:rsidR="00B23602" w:rsidRPr="00EC4C97" w:rsidRDefault="00B23602" w:rsidP="00556588">
            <w:pPr>
              <w:spacing w:after="0" w:line="240" w:lineRule="auto"/>
              <w:rPr>
                <w:rFonts w:ascii="Arial" w:hAnsi="Arial" w:cs="Arial"/>
                <w:color w:val="000000" w:themeColor="text1"/>
              </w:rPr>
            </w:pPr>
          </w:p>
        </w:tc>
        <w:tc>
          <w:tcPr>
            <w:tcW w:w="9990" w:type="dxa"/>
            <w:gridSpan w:val="3"/>
          </w:tcPr>
          <w:p w14:paraId="6947105E" w14:textId="77777777" w:rsidR="00B23602" w:rsidRPr="00EC4C97" w:rsidRDefault="00B60DB0" w:rsidP="00556588">
            <w:pPr>
              <w:spacing w:line="240" w:lineRule="auto"/>
              <w:jc w:val="both"/>
              <w:rPr>
                <w:rFonts w:ascii="Arial" w:hAnsi="Arial" w:cs="Arial"/>
                <w:b/>
                <w:bCs/>
              </w:rPr>
            </w:pPr>
            <w:r w:rsidRPr="00EC4C97">
              <w:rPr>
                <w:rFonts w:ascii="Arial" w:hAnsi="Arial" w:cs="Arial"/>
                <w:b/>
                <w:bCs/>
              </w:rPr>
              <w:t>Capability Criteria (Technical Evaluation):</w:t>
            </w:r>
          </w:p>
        </w:tc>
      </w:tr>
      <w:tr w:rsidR="001337DD" w:rsidRPr="00EC4C97" w14:paraId="69471066" w14:textId="77777777" w:rsidTr="001337DD">
        <w:trPr>
          <w:trHeight w:hRule="exact" w:val="2693"/>
        </w:trPr>
        <w:tc>
          <w:tcPr>
            <w:tcW w:w="620" w:type="dxa"/>
            <w:tcBorders>
              <w:bottom w:val="single" w:sz="4" w:space="0" w:color="auto"/>
            </w:tcBorders>
            <w:shd w:val="clear" w:color="auto" w:fill="F2F2F2"/>
          </w:tcPr>
          <w:p w14:paraId="69471060" w14:textId="7B0379D1" w:rsidR="001337DD" w:rsidRPr="00EC4C97" w:rsidRDefault="001337DD" w:rsidP="00556588">
            <w:pPr>
              <w:spacing w:after="0" w:line="240" w:lineRule="auto"/>
              <w:rPr>
                <w:rFonts w:ascii="Arial" w:hAnsi="Arial" w:cs="Arial"/>
              </w:rPr>
            </w:pPr>
            <w:r w:rsidRPr="00EC4C97">
              <w:rPr>
                <w:rFonts w:ascii="Arial" w:hAnsi="Arial" w:cs="Arial"/>
              </w:rPr>
              <w:lastRenderedPageBreak/>
              <w:t>3</w:t>
            </w:r>
          </w:p>
        </w:tc>
        <w:tc>
          <w:tcPr>
            <w:tcW w:w="9990" w:type="dxa"/>
            <w:gridSpan w:val="3"/>
          </w:tcPr>
          <w:p w14:paraId="65DE427A" w14:textId="77777777" w:rsidR="001337DD" w:rsidRDefault="001337DD" w:rsidP="00556588">
            <w:pPr>
              <w:spacing w:after="0" w:line="240" w:lineRule="auto"/>
              <w:jc w:val="both"/>
              <w:rPr>
                <w:rFonts w:ascii="Arial" w:hAnsi="Arial" w:cs="Arial"/>
              </w:rPr>
            </w:pPr>
            <w:bookmarkStart w:id="0" w:name="_Hlk217276598"/>
          </w:p>
          <w:p w14:paraId="1AA93EEE" w14:textId="77777777" w:rsidR="001337DD" w:rsidRPr="00EC4C97" w:rsidRDefault="001337DD" w:rsidP="00556588">
            <w:pPr>
              <w:spacing w:after="0" w:line="240" w:lineRule="auto"/>
              <w:jc w:val="both"/>
              <w:rPr>
                <w:rFonts w:ascii="Arial" w:hAnsi="Arial" w:cs="Arial"/>
              </w:rPr>
            </w:pPr>
            <w:r w:rsidRPr="00EC4C97">
              <w:rPr>
                <w:rFonts w:ascii="Arial" w:hAnsi="Arial" w:cs="Arial"/>
              </w:rPr>
              <w:t>Detailed technical proposal with clear methodology of how the consultant intends to conduct a Research Services for The Impact of Mother Tongue (Somali) Instruction on Academic Performance in Primary and secondary Education in Somalia or similar Research and evaluations, objective and methodology including the study design, sampling and sample approach, tools, data analysis and ethical consideration and detailed work plan with clear milestones, methodologies, data analysis, and interpretation, reports, including software to be used for analysis. This to be evaluated based on:</w:t>
            </w:r>
          </w:p>
          <w:p w14:paraId="69DFE68F" w14:textId="77777777" w:rsidR="001337DD" w:rsidRPr="00EC4C97" w:rsidRDefault="001337DD" w:rsidP="00556588">
            <w:pPr>
              <w:pStyle w:val="ListParagraph"/>
              <w:numPr>
                <w:ilvl w:val="0"/>
                <w:numId w:val="22"/>
              </w:numPr>
              <w:jc w:val="both"/>
              <w:rPr>
                <w:rFonts w:ascii="Arial" w:eastAsia="Calibri" w:hAnsi="Arial" w:cs="Arial"/>
                <w:sz w:val="22"/>
                <w:szCs w:val="22"/>
                <w:lang w:val="en-US" w:eastAsia="en-US"/>
              </w:rPr>
            </w:pPr>
            <w:r w:rsidRPr="00EC4C97">
              <w:rPr>
                <w:rFonts w:ascii="Arial" w:eastAsia="Calibri" w:hAnsi="Arial" w:cs="Arial"/>
                <w:sz w:val="22"/>
                <w:szCs w:val="22"/>
                <w:lang w:val="en-US" w:eastAsia="en-US"/>
              </w:rPr>
              <w:t xml:space="preserve">Overall quality, clarity, organization and relevance of the technical proposal document – </w:t>
            </w:r>
          </w:p>
          <w:p w14:paraId="4D9CDB55" w14:textId="77777777" w:rsidR="001337DD" w:rsidRPr="00EC4C97" w:rsidRDefault="001337DD" w:rsidP="00556588">
            <w:pPr>
              <w:pStyle w:val="ListParagraph"/>
              <w:numPr>
                <w:ilvl w:val="0"/>
                <w:numId w:val="22"/>
              </w:numPr>
              <w:jc w:val="both"/>
              <w:rPr>
                <w:rFonts w:ascii="Arial" w:eastAsia="Calibri" w:hAnsi="Arial" w:cs="Arial"/>
                <w:sz w:val="22"/>
                <w:szCs w:val="22"/>
                <w:lang w:val="en-US" w:eastAsia="en-US"/>
              </w:rPr>
            </w:pPr>
            <w:r w:rsidRPr="00EC4C97">
              <w:rPr>
                <w:rFonts w:ascii="Arial" w:eastAsia="Calibri" w:hAnsi="Arial" w:cs="Arial"/>
                <w:sz w:val="22"/>
                <w:szCs w:val="22"/>
                <w:lang w:val="en-US" w:eastAsia="en-US"/>
              </w:rPr>
              <w:t xml:space="preserve">Comprehensive work plan detailing how it relates to the proposed methodology - </w:t>
            </w:r>
          </w:p>
          <w:bookmarkEnd w:id="0"/>
          <w:p w14:paraId="0DDA6847" w14:textId="77777777" w:rsidR="001337DD" w:rsidRPr="00EC4C97" w:rsidRDefault="001337DD" w:rsidP="00556588">
            <w:pPr>
              <w:spacing w:after="0" w:line="240" w:lineRule="auto"/>
              <w:jc w:val="center"/>
              <w:rPr>
                <w:rFonts w:ascii="Arial" w:hAnsi="Arial" w:cs="Arial"/>
                <w:b/>
                <w:color w:val="000000" w:themeColor="text1"/>
              </w:rPr>
            </w:pPr>
          </w:p>
          <w:p w14:paraId="203851D2" w14:textId="77777777" w:rsidR="001337DD" w:rsidRPr="00EC4C97" w:rsidRDefault="001337DD" w:rsidP="00556588">
            <w:pPr>
              <w:spacing w:after="0" w:line="240" w:lineRule="auto"/>
              <w:jc w:val="center"/>
              <w:rPr>
                <w:rFonts w:ascii="Arial" w:hAnsi="Arial" w:cs="Arial"/>
                <w:b/>
                <w:color w:val="000000" w:themeColor="text1"/>
              </w:rPr>
            </w:pPr>
          </w:p>
          <w:p w14:paraId="57D3066B" w14:textId="77777777" w:rsidR="001337DD" w:rsidRPr="00EC4C97" w:rsidRDefault="001337DD" w:rsidP="00556588">
            <w:pPr>
              <w:spacing w:after="0" w:line="240" w:lineRule="auto"/>
              <w:jc w:val="center"/>
              <w:rPr>
                <w:rFonts w:ascii="Arial" w:hAnsi="Arial" w:cs="Arial"/>
                <w:b/>
                <w:color w:val="000000" w:themeColor="text1"/>
              </w:rPr>
            </w:pPr>
          </w:p>
          <w:p w14:paraId="78024B47" w14:textId="77777777" w:rsidR="001337DD" w:rsidRPr="00EC4C97" w:rsidRDefault="001337DD" w:rsidP="00556588">
            <w:pPr>
              <w:spacing w:after="0" w:line="240" w:lineRule="auto"/>
              <w:jc w:val="center"/>
              <w:rPr>
                <w:rFonts w:ascii="Arial" w:hAnsi="Arial" w:cs="Arial"/>
                <w:b/>
                <w:color w:val="000000" w:themeColor="text1"/>
              </w:rPr>
            </w:pPr>
          </w:p>
          <w:p w14:paraId="548349D4" w14:textId="77777777" w:rsidR="001337DD" w:rsidRPr="00EC4C97" w:rsidRDefault="001337DD" w:rsidP="00556588">
            <w:pPr>
              <w:spacing w:after="0" w:line="240" w:lineRule="auto"/>
              <w:jc w:val="center"/>
              <w:rPr>
                <w:rFonts w:ascii="Arial" w:hAnsi="Arial" w:cs="Arial"/>
                <w:b/>
                <w:color w:val="000000" w:themeColor="text1"/>
              </w:rPr>
            </w:pPr>
          </w:p>
          <w:p w14:paraId="5B8ADACE" w14:textId="77777777" w:rsidR="001337DD" w:rsidRPr="00EC4C97" w:rsidRDefault="001337DD" w:rsidP="00556588">
            <w:pPr>
              <w:spacing w:after="0" w:line="240" w:lineRule="auto"/>
              <w:jc w:val="center"/>
              <w:rPr>
                <w:rFonts w:ascii="Arial" w:hAnsi="Arial" w:cs="Arial"/>
                <w:b/>
                <w:color w:val="000000" w:themeColor="text1"/>
              </w:rPr>
            </w:pPr>
          </w:p>
          <w:p w14:paraId="7FA62825" w14:textId="77777777" w:rsidR="001337DD" w:rsidRPr="00EC4C97" w:rsidRDefault="001337DD" w:rsidP="00556588">
            <w:pPr>
              <w:spacing w:after="0" w:line="240" w:lineRule="auto"/>
              <w:jc w:val="center"/>
              <w:rPr>
                <w:rFonts w:ascii="Arial" w:hAnsi="Arial" w:cs="Arial"/>
                <w:b/>
                <w:color w:val="000000" w:themeColor="text1"/>
              </w:rPr>
            </w:pPr>
          </w:p>
          <w:p w14:paraId="70645CF5" w14:textId="77777777" w:rsidR="001337DD" w:rsidRPr="00EC4C97" w:rsidRDefault="001337DD" w:rsidP="00556588">
            <w:pPr>
              <w:spacing w:after="0" w:line="240" w:lineRule="auto"/>
              <w:jc w:val="center"/>
              <w:rPr>
                <w:rFonts w:ascii="Arial" w:hAnsi="Arial" w:cs="Arial"/>
                <w:b/>
                <w:color w:val="000000" w:themeColor="text1"/>
              </w:rPr>
            </w:pPr>
          </w:p>
          <w:p w14:paraId="01B1E913" w14:textId="77777777" w:rsidR="001337DD" w:rsidRPr="00EC4C97" w:rsidRDefault="001337DD" w:rsidP="00556588">
            <w:pPr>
              <w:spacing w:after="0" w:line="240" w:lineRule="auto"/>
              <w:jc w:val="center"/>
              <w:rPr>
                <w:rFonts w:ascii="Arial" w:hAnsi="Arial" w:cs="Arial"/>
                <w:b/>
                <w:color w:val="000000" w:themeColor="text1"/>
              </w:rPr>
            </w:pPr>
          </w:p>
          <w:p w14:paraId="45A54C3D" w14:textId="77777777" w:rsidR="001337DD" w:rsidRPr="00EC4C97" w:rsidRDefault="001337DD" w:rsidP="00556588">
            <w:pPr>
              <w:spacing w:after="0" w:line="240" w:lineRule="auto"/>
              <w:jc w:val="center"/>
              <w:rPr>
                <w:rFonts w:ascii="Arial" w:hAnsi="Arial" w:cs="Arial"/>
                <w:b/>
                <w:color w:val="000000" w:themeColor="text1"/>
              </w:rPr>
            </w:pPr>
          </w:p>
          <w:p w14:paraId="1F557E30" w14:textId="77777777" w:rsidR="001337DD" w:rsidRPr="00EC4C97" w:rsidRDefault="001337DD" w:rsidP="00556588">
            <w:pPr>
              <w:spacing w:after="0" w:line="240" w:lineRule="auto"/>
              <w:jc w:val="center"/>
              <w:rPr>
                <w:rFonts w:ascii="Arial" w:hAnsi="Arial" w:cs="Arial"/>
                <w:b/>
                <w:color w:val="000000" w:themeColor="text1"/>
              </w:rPr>
            </w:pPr>
          </w:p>
          <w:p w14:paraId="1F78E3E8" w14:textId="77777777" w:rsidR="001337DD" w:rsidRPr="00EC4C97" w:rsidRDefault="001337DD" w:rsidP="00556588">
            <w:pPr>
              <w:spacing w:after="0" w:line="240" w:lineRule="auto"/>
              <w:jc w:val="center"/>
              <w:rPr>
                <w:rFonts w:ascii="Arial" w:hAnsi="Arial" w:cs="Arial"/>
                <w:b/>
                <w:color w:val="000000" w:themeColor="text1"/>
              </w:rPr>
            </w:pPr>
          </w:p>
          <w:p w14:paraId="5B8D4363" w14:textId="77777777" w:rsidR="001337DD" w:rsidRPr="00EC4C97" w:rsidRDefault="001337DD" w:rsidP="00556588">
            <w:pPr>
              <w:spacing w:after="0" w:line="240" w:lineRule="auto"/>
              <w:jc w:val="center"/>
              <w:rPr>
                <w:rFonts w:ascii="Arial" w:hAnsi="Arial" w:cs="Arial"/>
                <w:b/>
                <w:color w:val="000000" w:themeColor="text1"/>
              </w:rPr>
            </w:pPr>
          </w:p>
          <w:p w14:paraId="3A1358D1" w14:textId="77777777" w:rsidR="001337DD" w:rsidRPr="00EC4C97" w:rsidRDefault="001337DD" w:rsidP="00556588">
            <w:pPr>
              <w:spacing w:after="0" w:line="240" w:lineRule="auto"/>
              <w:jc w:val="center"/>
              <w:rPr>
                <w:rFonts w:ascii="Arial" w:hAnsi="Arial" w:cs="Arial"/>
                <w:b/>
                <w:color w:val="000000" w:themeColor="text1"/>
              </w:rPr>
            </w:pPr>
          </w:p>
          <w:p w14:paraId="1341168C" w14:textId="77777777" w:rsidR="001337DD" w:rsidRPr="00EC4C97" w:rsidRDefault="001337DD" w:rsidP="00556588">
            <w:pPr>
              <w:spacing w:line="240" w:lineRule="auto"/>
              <w:rPr>
                <w:rFonts w:ascii="Arial" w:hAnsi="Arial" w:cs="Arial"/>
              </w:rPr>
            </w:pPr>
          </w:p>
          <w:p w14:paraId="0EEC099A" w14:textId="77777777" w:rsidR="001337DD" w:rsidRPr="00EC4C97" w:rsidRDefault="001337DD" w:rsidP="00556588">
            <w:pPr>
              <w:spacing w:line="240" w:lineRule="auto"/>
              <w:rPr>
                <w:rFonts w:ascii="Arial" w:hAnsi="Arial" w:cs="Arial"/>
                <w:b/>
                <w:color w:val="000000" w:themeColor="text1"/>
              </w:rPr>
            </w:pPr>
          </w:p>
          <w:p w14:paraId="798706EB" w14:textId="77777777" w:rsidR="001337DD" w:rsidRPr="00EC4C97" w:rsidRDefault="001337DD" w:rsidP="00556588">
            <w:pPr>
              <w:spacing w:line="240" w:lineRule="auto"/>
              <w:rPr>
                <w:rFonts w:ascii="Arial" w:hAnsi="Arial" w:cs="Arial"/>
                <w:b/>
                <w:color w:val="000000" w:themeColor="text1"/>
              </w:rPr>
            </w:pPr>
          </w:p>
          <w:p w14:paraId="36B01C41" w14:textId="77777777" w:rsidR="001337DD" w:rsidRPr="00EC4C97" w:rsidRDefault="001337DD" w:rsidP="00556588">
            <w:pPr>
              <w:spacing w:line="240" w:lineRule="auto"/>
              <w:rPr>
                <w:rFonts w:ascii="Arial" w:hAnsi="Arial" w:cs="Arial"/>
                <w:b/>
                <w:color w:val="000000" w:themeColor="text1"/>
              </w:rPr>
            </w:pPr>
          </w:p>
          <w:p w14:paraId="26E29CFA" w14:textId="77777777" w:rsidR="001337DD" w:rsidRPr="00EC4C97" w:rsidRDefault="001337DD" w:rsidP="00556588">
            <w:pPr>
              <w:spacing w:line="240" w:lineRule="auto"/>
              <w:rPr>
                <w:rFonts w:ascii="Arial" w:hAnsi="Arial" w:cs="Arial"/>
              </w:rPr>
            </w:pPr>
          </w:p>
          <w:p w14:paraId="2A7D3290" w14:textId="77777777" w:rsidR="001337DD" w:rsidRPr="00EC4C97" w:rsidRDefault="001337DD" w:rsidP="00556588">
            <w:pPr>
              <w:spacing w:line="240" w:lineRule="auto"/>
              <w:rPr>
                <w:rFonts w:ascii="Arial" w:hAnsi="Arial" w:cs="Arial"/>
              </w:rPr>
            </w:pPr>
          </w:p>
          <w:p w14:paraId="2A080E63" w14:textId="77777777" w:rsidR="001337DD" w:rsidRPr="00EC4C97" w:rsidRDefault="001337DD" w:rsidP="00556588">
            <w:pPr>
              <w:spacing w:line="240" w:lineRule="auto"/>
              <w:rPr>
                <w:rFonts w:ascii="Arial" w:hAnsi="Arial" w:cs="Arial"/>
              </w:rPr>
            </w:pPr>
          </w:p>
          <w:p w14:paraId="717648B1" w14:textId="77777777" w:rsidR="001337DD" w:rsidRPr="00EC4C97" w:rsidRDefault="001337DD" w:rsidP="00556588">
            <w:pPr>
              <w:spacing w:line="240" w:lineRule="auto"/>
              <w:rPr>
                <w:rFonts w:ascii="Arial" w:hAnsi="Arial" w:cs="Arial"/>
              </w:rPr>
            </w:pPr>
          </w:p>
          <w:p w14:paraId="69471065" w14:textId="2C3B52E2" w:rsidR="001337DD" w:rsidRPr="00EC4C97" w:rsidRDefault="001337DD" w:rsidP="00556588">
            <w:pPr>
              <w:spacing w:line="240" w:lineRule="auto"/>
              <w:rPr>
                <w:rFonts w:ascii="Arial" w:hAnsi="Arial" w:cs="Arial"/>
              </w:rPr>
            </w:pPr>
          </w:p>
        </w:tc>
      </w:tr>
      <w:tr w:rsidR="001337DD" w:rsidRPr="00EC4C97" w14:paraId="03720FFE" w14:textId="77777777" w:rsidTr="001337DD">
        <w:trPr>
          <w:trHeight w:hRule="exact" w:val="3863"/>
        </w:trPr>
        <w:tc>
          <w:tcPr>
            <w:tcW w:w="620" w:type="dxa"/>
            <w:tcBorders>
              <w:bottom w:val="single" w:sz="4" w:space="0" w:color="auto"/>
            </w:tcBorders>
            <w:shd w:val="clear" w:color="auto" w:fill="F2F2F2"/>
          </w:tcPr>
          <w:p w14:paraId="1D424D97" w14:textId="77777777" w:rsidR="001337DD" w:rsidRPr="00EC4C97" w:rsidRDefault="001337DD" w:rsidP="00556588">
            <w:pPr>
              <w:spacing w:after="0" w:line="240" w:lineRule="auto"/>
              <w:rPr>
                <w:rFonts w:ascii="Arial" w:hAnsi="Arial" w:cs="Arial"/>
                <w:color w:val="000000" w:themeColor="text1"/>
              </w:rPr>
            </w:pPr>
          </w:p>
        </w:tc>
        <w:tc>
          <w:tcPr>
            <w:tcW w:w="9990" w:type="dxa"/>
            <w:gridSpan w:val="3"/>
          </w:tcPr>
          <w:p w14:paraId="09A6CE4D" w14:textId="77777777" w:rsidR="001337DD" w:rsidRPr="00EC4C97" w:rsidRDefault="001337DD" w:rsidP="00556588">
            <w:pPr>
              <w:tabs>
                <w:tab w:val="left" w:pos="360"/>
              </w:tabs>
              <w:spacing w:line="240" w:lineRule="auto"/>
              <w:jc w:val="both"/>
              <w:rPr>
                <w:rFonts w:ascii="Arial" w:hAnsi="Arial" w:cs="Arial"/>
                <w:bCs/>
              </w:rPr>
            </w:pPr>
            <w:r w:rsidRPr="00EC4C97">
              <w:rPr>
                <w:rFonts w:ascii="Arial" w:hAnsi="Arial" w:cs="Arial"/>
                <w:bCs/>
              </w:rPr>
              <w:t xml:space="preserve">Experience in conducting similar assignments related to </w:t>
            </w:r>
            <w:r w:rsidRPr="0075053F">
              <w:rPr>
                <w:rFonts w:ascii="Arial" w:hAnsi="Arial" w:cs="Arial"/>
                <w:bCs/>
                <w:color w:val="000000" w:themeColor="text1"/>
              </w:rPr>
              <w:t>Research Services for the Impact of Mother Tongue (Somali) Instruction on Academic Performance in Primary and Secondary Education in Somalia</w:t>
            </w:r>
            <w:r w:rsidRPr="00EC4C97">
              <w:rPr>
                <w:rFonts w:ascii="Arial" w:hAnsi="Arial" w:cs="Arial"/>
              </w:rPr>
              <w:t xml:space="preserve"> or </w:t>
            </w:r>
            <w:r w:rsidRPr="00EC4C97">
              <w:rPr>
                <w:rFonts w:ascii="Arial" w:hAnsi="Arial" w:cs="Arial"/>
                <w:bCs/>
              </w:rPr>
              <w:t xml:space="preserve">related fields. This to be evaluated based on: </w:t>
            </w:r>
          </w:p>
          <w:p w14:paraId="5F450B34" w14:textId="77777777" w:rsidR="001337DD" w:rsidRPr="00EC4C97" w:rsidRDefault="001337DD" w:rsidP="00556588">
            <w:pPr>
              <w:numPr>
                <w:ilvl w:val="0"/>
                <w:numId w:val="4"/>
              </w:numPr>
              <w:tabs>
                <w:tab w:val="left" w:pos="360"/>
              </w:tabs>
              <w:spacing w:after="0" w:line="240" w:lineRule="auto"/>
              <w:jc w:val="both"/>
              <w:rPr>
                <w:rFonts w:ascii="Arial" w:hAnsi="Arial" w:cs="Arial"/>
                <w:bCs/>
              </w:rPr>
            </w:pPr>
            <w:r w:rsidRPr="00EC4C97">
              <w:rPr>
                <w:rFonts w:ascii="Arial" w:hAnsi="Arial" w:cs="Arial"/>
                <w:bCs/>
              </w:rPr>
              <w:t>Prior experience in conducting Consultancy Services on</w:t>
            </w:r>
            <w:r w:rsidRPr="00EC4C97">
              <w:rPr>
                <w:rFonts w:ascii="Arial" w:hAnsi="Arial" w:cs="Arial"/>
                <w:bCs/>
                <w:color w:val="000000" w:themeColor="text1"/>
              </w:rPr>
              <w:t xml:space="preserve"> </w:t>
            </w:r>
            <w:r w:rsidRPr="0075053F">
              <w:rPr>
                <w:rFonts w:ascii="Arial" w:hAnsi="Arial" w:cs="Arial"/>
                <w:bCs/>
                <w:color w:val="000000" w:themeColor="text1"/>
              </w:rPr>
              <w:t>Research Services for the Impact of Mother Tongue (Somali) Instruction on Academic Performance in Primary and Secondary Education in Somalia</w:t>
            </w:r>
            <w:r w:rsidRPr="00EC4C97">
              <w:rPr>
                <w:rFonts w:ascii="Arial" w:hAnsi="Arial" w:cs="Arial"/>
              </w:rPr>
              <w:t xml:space="preserve"> or </w:t>
            </w:r>
            <w:r w:rsidRPr="00EC4C97">
              <w:rPr>
                <w:rFonts w:ascii="Arial" w:hAnsi="Arial" w:cs="Arial"/>
                <w:bCs/>
              </w:rPr>
              <w:t xml:space="preserve">related fields. – Please provide at least two contracts and/or LPOs - </w:t>
            </w:r>
          </w:p>
          <w:p w14:paraId="76CBC2AC" w14:textId="77777777" w:rsidR="001337DD" w:rsidRPr="00EC4C97" w:rsidRDefault="001337DD" w:rsidP="00556588">
            <w:pPr>
              <w:numPr>
                <w:ilvl w:val="0"/>
                <w:numId w:val="5"/>
              </w:numPr>
              <w:spacing w:after="0" w:line="240" w:lineRule="auto"/>
              <w:jc w:val="both"/>
              <w:rPr>
                <w:rFonts w:ascii="Arial" w:eastAsiaTheme="minorEastAsia" w:hAnsi="Arial" w:cs="Arial"/>
              </w:rPr>
            </w:pPr>
            <w:r w:rsidRPr="00EC4C97">
              <w:rPr>
                <w:rFonts w:ascii="Arial" w:eastAsiaTheme="minorEastAsia" w:hAnsi="Arial" w:cs="Arial"/>
              </w:rPr>
              <w:t xml:space="preserve">Submission of at least two curriculum vitae (CVs) for the proposed technical team, specifically the Team Leader and Co-Lead—clearly demonstrating their relevant academic qualifications and professional experience. Both candidates should hold an advanced degree (master’s or PhD) in Education, Linguistics, Social Sciences, or a closely related discipline. </w:t>
            </w:r>
            <w:r w:rsidRPr="00EC4C97">
              <w:rPr>
                <w:rFonts w:ascii="Arial" w:hAnsi="Arial" w:cs="Arial"/>
                <w:b/>
                <w:bCs/>
                <w:lang w:val="en-GB"/>
              </w:rPr>
              <w:t xml:space="preserve"> </w:t>
            </w:r>
          </w:p>
          <w:p w14:paraId="01F83933" w14:textId="77777777" w:rsidR="001337DD" w:rsidRPr="00EC4C97" w:rsidRDefault="001337DD" w:rsidP="00556588">
            <w:pPr>
              <w:numPr>
                <w:ilvl w:val="0"/>
                <w:numId w:val="4"/>
              </w:numPr>
              <w:tabs>
                <w:tab w:val="left" w:pos="360"/>
              </w:tabs>
              <w:spacing w:after="0" w:line="240" w:lineRule="auto"/>
              <w:jc w:val="both"/>
              <w:rPr>
                <w:rFonts w:ascii="Arial" w:hAnsi="Arial" w:cs="Arial"/>
                <w:bCs/>
              </w:rPr>
            </w:pPr>
            <w:r w:rsidRPr="00EC4C97">
              <w:rPr>
                <w:rFonts w:ascii="Arial" w:hAnsi="Arial" w:cs="Arial"/>
                <w:bCs/>
              </w:rPr>
              <w:t>Cover letter introducing the company, outlining their technical expertise and interest in the assignment as well as their availability and commitment. .</w:t>
            </w:r>
          </w:p>
          <w:p w14:paraId="2AB6FE9E" w14:textId="77777777" w:rsidR="001337DD" w:rsidRPr="00EC4C97" w:rsidRDefault="001337DD" w:rsidP="00556588">
            <w:pPr>
              <w:numPr>
                <w:ilvl w:val="0"/>
                <w:numId w:val="4"/>
              </w:numPr>
              <w:tabs>
                <w:tab w:val="left" w:pos="360"/>
              </w:tabs>
              <w:spacing w:after="0" w:line="240" w:lineRule="auto"/>
              <w:jc w:val="both"/>
              <w:rPr>
                <w:rFonts w:ascii="Arial" w:hAnsi="Arial" w:cs="Arial"/>
                <w:bCs/>
              </w:rPr>
            </w:pPr>
            <w:r w:rsidRPr="00EC4C97">
              <w:rPr>
                <w:rFonts w:ascii="Arial" w:hAnsi="Arial" w:cs="Arial"/>
                <w:bCs/>
                <w:lang w:val="en-GB"/>
              </w:rPr>
              <w:t xml:space="preserve">Updated Company Profile </w:t>
            </w:r>
          </w:p>
          <w:p w14:paraId="58BB91ED" w14:textId="77777777" w:rsidR="001337DD" w:rsidRPr="00EC4C97" w:rsidRDefault="001337DD" w:rsidP="00556588">
            <w:pPr>
              <w:spacing w:after="0" w:line="240" w:lineRule="auto"/>
              <w:jc w:val="center"/>
              <w:rPr>
                <w:rFonts w:ascii="Arial" w:hAnsi="Arial" w:cs="Arial"/>
                <w:b/>
                <w:color w:val="000000" w:themeColor="text1"/>
                <w:lang w:val="en-GB"/>
              </w:rPr>
            </w:pPr>
          </w:p>
          <w:p w14:paraId="013DE432" w14:textId="77777777" w:rsidR="001337DD" w:rsidRPr="00EC4C97" w:rsidRDefault="001337DD" w:rsidP="00556588">
            <w:pPr>
              <w:spacing w:after="0" w:line="240" w:lineRule="auto"/>
              <w:jc w:val="center"/>
              <w:rPr>
                <w:rFonts w:ascii="Arial" w:hAnsi="Arial" w:cs="Arial"/>
                <w:b/>
                <w:color w:val="000000" w:themeColor="text1"/>
                <w:lang w:val="en-GB"/>
              </w:rPr>
            </w:pPr>
          </w:p>
          <w:p w14:paraId="36EC9EEB" w14:textId="77777777" w:rsidR="001337DD" w:rsidRPr="00EC4C97" w:rsidRDefault="001337DD" w:rsidP="00556588">
            <w:pPr>
              <w:spacing w:after="0" w:line="240" w:lineRule="auto"/>
              <w:jc w:val="center"/>
              <w:rPr>
                <w:rFonts w:ascii="Arial" w:hAnsi="Arial" w:cs="Arial"/>
                <w:b/>
                <w:color w:val="000000" w:themeColor="text1"/>
                <w:lang w:val="en-GB"/>
              </w:rPr>
            </w:pPr>
          </w:p>
          <w:p w14:paraId="4D88466E" w14:textId="77777777" w:rsidR="001337DD" w:rsidRPr="00EC4C97" w:rsidRDefault="001337DD" w:rsidP="00556588">
            <w:pPr>
              <w:spacing w:after="0" w:line="240" w:lineRule="auto"/>
              <w:jc w:val="center"/>
              <w:rPr>
                <w:rFonts w:ascii="Arial" w:hAnsi="Arial" w:cs="Arial"/>
                <w:b/>
                <w:color w:val="000000" w:themeColor="text1"/>
                <w:lang w:val="en-GB"/>
              </w:rPr>
            </w:pPr>
          </w:p>
          <w:p w14:paraId="071E0A21" w14:textId="77777777" w:rsidR="001337DD" w:rsidRPr="00EC4C97" w:rsidRDefault="001337DD" w:rsidP="00556588">
            <w:pPr>
              <w:spacing w:after="0" w:line="240" w:lineRule="auto"/>
              <w:jc w:val="center"/>
              <w:rPr>
                <w:rFonts w:ascii="Arial" w:hAnsi="Arial" w:cs="Arial"/>
                <w:b/>
                <w:color w:val="000000" w:themeColor="text1"/>
                <w:lang w:val="en-GB"/>
              </w:rPr>
            </w:pPr>
          </w:p>
          <w:p w14:paraId="483A0888" w14:textId="77777777" w:rsidR="001337DD" w:rsidRPr="00EC4C97" w:rsidRDefault="001337DD" w:rsidP="00556588">
            <w:pPr>
              <w:spacing w:after="0" w:line="240" w:lineRule="auto"/>
              <w:jc w:val="center"/>
              <w:rPr>
                <w:rFonts w:ascii="Arial" w:hAnsi="Arial" w:cs="Arial"/>
                <w:b/>
                <w:color w:val="000000" w:themeColor="text1"/>
                <w:lang w:val="en-GB"/>
              </w:rPr>
            </w:pPr>
          </w:p>
          <w:p w14:paraId="68AE0D37" w14:textId="77777777" w:rsidR="001337DD" w:rsidRPr="00EC4C97" w:rsidRDefault="001337DD" w:rsidP="00556588">
            <w:pPr>
              <w:spacing w:after="0" w:line="240" w:lineRule="auto"/>
              <w:jc w:val="center"/>
              <w:rPr>
                <w:rFonts w:ascii="Arial" w:hAnsi="Arial" w:cs="Arial"/>
                <w:b/>
                <w:color w:val="000000" w:themeColor="text1"/>
                <w:lang w:val="en-GB"/>
              </w:rPr>
            </w:pPr>
          </w:p>
          <w:p w14:paraId="785844C0" w14:textId="77777777" w:rsidR="001337DD" w:rsidRPr="00EC4C97" w:rsidRDefault="001337DD" w:rsidP="00556588">
            <w:pPr>
              <w:spacing w:after="0" w:line="240" w:lineRule="auto"/>
              <w:jc w:val="center"/>
              <w:rPr>
                <w:rFonts w:ascii="Arial" w:hAnsi="Arial" w:cs="Arial"/>
                <w:b/>
                <w:color w:val="000000" w:themeColor="text1"/>
                <w:lang w:val="en-GB"/>
              </w:rPr>
            </w:pPr>
          </w:p>
          <w:p w14:paraId="18C973F4" w14:textId="2DC85F69" w:rsidR="001337DD" w:rsidRPr="00EC4C97" w:rsidRDefault="001337DD" w:rsidP="00556588">
            <w:pPr>
              <w:spacing w:after="0" w:line="240" w:lineRule="auto"/>
              <w:jc w:val="center"/>
              <w:rPr>
                <w:rFonts w:ascii="Arial" w:hAnsi="Arial" w:cs="Arial"/>
                <w:b/>
                <w:color w:val="000000" w:themeColor="text1"/>
                <w:lang w:val="en-GB"/>
              </w:rPr>
            </w:pPr>
          </w:p>
        </w:tc>
      </w:tr>
      <w:tr w:rsidR="001337DD" w:rsidRPr="00EC4C97" w14:paraId="7637FE27" w14:textId="77777777" w:rsidTr="001337DD">
        <w:trPr>
          <w:trHeight w:hRule="exact" w:val="731"/>
        </w:trPr>
        <w:tc>
          <w:tcPr>
            <w:tcW w:w="620" w:type="dxa"/>
            <w:tcBorders>
              <w:bottom w:val="single" w:sz="4" w:space="0" w:color="auto"/>
            </w:tcBorders>
            <w:shd w:val="clear" w:color="auto" w:fill="F2F2F2"/>
          </w:tcPr>
          <w:p w14:paraId="2EB2DCCD" w14:textId="77777777" w:rsidR="001337DD" w:rsidRPr="00EC4C97" w:rsidRDefault="001337DD" w:rsidP="00556588">
            <w:pPr>
              <w:spacing w:after="0" w:line="240" w:lineRule="auto"/>
              <w:rPr>
                <w:rFonts w:ascii="Arial" w:hAnsi="Arial" w:cs="Arial"/>
                <w:color w:val="000000" w:themeColor="text1"/>
              </w:rPr>
            </w:pPr>
          </w:p>
        </w:tc>
        <w:tc>
          <w:tcPr>
            <w:tcW w:w="9990" w:type="dxa"/>
            <w:gridSpan w:val="3"/>
          </w:tcPr>
          <w:p w14:paraId="110E880E" w14:textId="77777777" w:rsidR="001337DD" w:rsidRPr="00EC4C97" w:rsidRDefault="001337DD" w:rsidP="00556588">
            <w:pPr>
              <w:spacing w:after="160" w:line="240" w:lineRule="auto"/>
              <w:jc w:val="both"/>
              <w:rPr>
                <w:rFonts w:ascii="Arial" w:hAnsi="Arial" w:cs="Arial"/>
                <w:b/>
              </w:rPr>
            </w:pPr>
            <w:r w:rsidRPr="00EC4C97">
              <w:rPr>
                <w:rFonts w:ascii="Arial" w:eastAsiaTheme="minorEastAsia" w:hAnsi="Arial" w:cs="Arial"/>
                <w:b/>
                <w:bCs/>
              </w:rPr>
              <w:t xml:space="preserve">Sample of previous work: </w:t>
            </w:r>
            <w:r w:rsidRPr="00EC4C97">
              <w:rPr>
                <w:rFonts w:ascii="Arial" w:hAnsi="Arial" w:cs="Arial"/>
                <w:bCs/>
              </w:rPr>
              <w:t xml:space="preserve">The consultant must share at least Two Copies of the previous similar reports relevant with the subject matter. </w:t>
            </w:r>
          </w:p>
          <w:p w14:paraId="47ADEBB3" w14:textId="4707CB72" w:rsidR="001337DD" w:rsidRPr="00EC4C97" w:rsidRDefault="001337DD" w:rsidP="001337DD">
            <w:pPr>
              <w:spacing w:after="0" w:line="240" w:lineRule="auto"/>
              <w:rPr>
                <w:rFonts w:ascii="Arial" w:hAnsi="Arial" w:cs="Arial"/>
                <w:b/>
                <w:color w:val="000000" w:themeColor="text1"/>
                <w:lang w:val="en-GB"/>
              </w:rPr>
            </w:pPr>
          </w:p>
        </w:tc>
      </w:tr>
      <w:tr w:rsidR="001337DD" w:rsidRPr="00EC4C97" w14:paraId="7CA6B25D" w14:textId="77777777" w:rsidTr="001337DD">
        <w:trPr>
          <w:trHeight w:hRule="exact" w:val="2243"/>
        </w:trPr>
        <w:tc>
          <w:tcPr>
            <w:tcW w:w="620" w:type="dxa"/>
            <w:tcBorders>
              <w:bottom w:val="single" w:sz="4" w:space="0" w:color="auto"/>
            </w:tcBorders>
            <w:shd w:val="clear" w:color="auto" w:fill="F2F2F2"/>
          </w:tcPr>
          <w:p w14:paraId="62401DFE" w14:textId="77777777" w:rsidR="001337DD" w:rsidRPr="00EC4C97" w:rsidRDefault="001337DD" w:rsidP="00556588">
            <w:pPr>
              <w:spacing w:after="0" w:line="240" w:lineRule="auto"/>
              <w:rPr>
                <w:rFonts w:ascii="Arial" w:hAnsi="Arial" w:cs="Arial"/>
                <w:color w:val="000000" w:themeColor="text1"/>
              </w:rPr>
            </w:pPr>
          </w:p>
        </w:tc>
        <w:tc>
          <w:tcPr>
            <w:tcW w:w="9990" w:type="dxa"/>
            <w:gridSpan w:val="3"/>
          </w:tcPr>
          <w:p w14:paraId="7F332A1B" w14:textId="77777777" w:rsidR="001337DD" w:rsidRPr="00EC4C97" w:rsidRDefault="001337DD" w:rsidP="00D91B9C">
            <w:pPr>
              <w:spacing w:after="160" w:line="259" w:lineRule="auto"/>
              <w:rPr>
                <w:rFonts w:ascii="Arial" w:eastAsiaTheme="minorEastAsia" w:hAnsi="Arial" w:cs="Arial"/>
                <w:b/>
                <w:bCs/>
              </w:rPr>
            </w:pPr>
            <w:r w:rsidRPr="00EC4C97">
              <w:rPr>
                <w:rFonts w:ascii="Arial" w:eastAsiaTheme="minorEastAsia" w:hAnsi="Arial" w:cs="Arial"/>
                <w:b/>
                <w:bCs/>
              </w:rPr>
              <w:t xml:space="preserve">Financial capacity 10 Points: </w:t>
            </w:r>
          </w:p>
          <w:p w14:paraId="68E33FD9" w14:textId="77777777" w:rsidR="001337DD" w:rsidRPr="00EC4C97" w:rsidRDefault="001337DD" w:rsidP="00BA585E">
            <w:pPr>
              <w:jc w:val="both"/>
              <w:rPr>
                <w:rFonts w:ascii="Lato" w:hAnsi="Lato" w:cs="Arial"/>
                <w:bCs/>
                <w:color w:val="000000" w:themeColor="text1"/>
              </w:rPr>
            </w:pPr>
            <w:r w:rsidRPr="00EC4C97">
              <w:rPr>
                <w:rFonts w:ascii="Lato" w:hAnsi="Lato" w:cs="Arial"/>
                <w:bCs/>
                <w:color w:val="000000" w:themeColor="text1"/>
              </w:rPr>
              <w:t>The bidder must submit copies of original, official bank statements covering the period 1</w:t>
            </w:r>
            <w:r w:rsidRPr="00EC4C97">
              <w:rPr>
                <w:rFonts w:ascii="Lato" w:hAnsi="Lato" w:cs="Arial"/>
                <w:bCs/>
                <w:color w:val="000000" w:themeColor="text1"/>
                <w:vertAlign w:val="superscript"/>
              </w:rPr>
              <w:t>st</w:t>
            </w:r>
            <w:r w:rsidRPr="00EC4C97">
              <w:rPr>
                <w:rFonts w:ascii="Lato" w:hAnsi="Lato" w:cs="Arial"/>
                <w:bCs/>
                <w:color w:val="000000" w:themeColor="text1"/>
              </w:rPr>
              <w:t xml:space="preserve"> </w:t>
            </w:r>
            <w:r w:rsidRPr="00EC4C97">
              <w:rPr>
                <w:rFonts w:ascii="Lato" w:hAnsi="Lato" w:cs="Arial"/>
                <w:bCs/>
                <w:color w:val="000000" w:themeColor="text1"/>
              </w:rPr>
              <w:t>May</w:t>
            </w:r>
            <w:r w:rsidRPr="00EC4C97">
              <w:rPr>
                <w:rFonts w:ascii="Lato" w:hAnsi="Lato" w:cs="Arial"/>
                <w:bCs/>
                <w:color w:val="000000" w:themeColor="text1"/>
              </w:rPr>
              <w:t xml:space="preserve"> 2025 to 3</w:t>
            </w:r>
            <w:r w:rsidRPr="00EC4C97">
              <w:rPr>
                <w:rFonts w:ascii="Lato" w:hAnsi="Lato" w:cs="Arial"/>
                <w:bCs/>
                <w:color w:val="000000" w:themeColor="text1"/>
              </w:rPr>
              <w:t>0</w:t>
            </w:r>
            <w:r w:rsidRPr="00EC4C97">
              <w:rPr>
                <w:rFonts w:ascii="Lato" w:hAnsi="Lato" w:cs="Arial"/>
                <w:bCs/>
                <w:color w:val="000000" w:themeColor="text1"/>
                <w:vertAlign w:val="superscript"/>
              </w:rPr>
              <w:t>t</w:t>
            </w:r>
            <w:r w:rsidRPr="00EC4C97">
              <w:rPr>
                <w:rFonts w:ascii="Lato" w:hAnsi="Lato" w:cs="Arial"/>
                <w:bCs/>
                <w:color w:val="000000" w:themeColor="text1"/>
                <w:vertAlign w:val="superscript"/>
              </w:rPr>
              <w:t>h</w:t>
            </w:r>
            <w:r w:rsidRPr="00EC4C97">
              <w:rPr>
                <w:rFonts w:ascii="Lato" w:hAnsi="Lato" w:cs="Arial"/>
                <w:bCs/>
                <w:color w:val="000000" w:themeColor="text1"/>
              </w:rPr>
              <w:t xml:space="preserve"> </w:t>
            </w:r>
            <w:r w:rsidRPr="00EC4C97">
              <w:rPr>
                <w:rFonts w:ascii="Lato" w:hAnsi="Lato" w:cs="Arial"/>
                <w:bCs/>
                <w:color w:val="000000" w:themeColor="text1"/>
              </w:rPr>
              <w:t>April</w:t>
            </w:r>
            <w:r w:rsidRPr="00EC4C97">
              <w:rPr>
                <w:rFonts w:ascii="Lato" w:hAnsi="Lato" w:cs="Arial"/>
                <w:bCs/>
                <w:color w:val="000000" w:themeColor="text1"/>
              </w:rPr>
              <w:t xml:space="preserve"> 2026. These statements should clearly reflect genuine and consistent financial transactions, demonstrating the organization’s financial stability and operational capacity.</w:t>
            </w:r>
          </w:p>
          <w:p w14:paraId="6C432007" w14:textId="77777777" w:rsidR="001337DD" w:rsidRDefault="001337DD" w:rsidP="001337DD">
            <w:pPr>
              <w:spacing w:after="0" w:line="240" w:lineRule="auto"/>
              <w:rPr>
                <w:rFonts w:ascii="Lato" w:hAnsi="Lato" w:cs="Arial"/>
                <w:bCs/>
                <w:color w:val="000000" w:themeColor="text1"/>
              </w:rPr>
            </w:pPr>
            <w:r w:rsidRPr="00EC4C97">
              <w:rPr>
                <w:rFonts w:ascii="Lato" w:hAnsi="Lato" w:cs="Arial"/>
                <w:bCs/>
                <w:color w:val="000000" w:themeColor="text1"/>
              </w:rPr>
              <w:t xml:space="preserve">Save the Children International (SCI) reserves the right to verify the authenticity of the submitted bank statements with the issuing financial </w:t>
            </w:r>
            <w:proofErr w:type="gramStart"/>
            <w:r w:rsidRPr="00EC4C97">
              <w:rPr>
                <w:rFonts w:ascii="Lato" w:hAnsi="Lato" w:cs="Arial"/>
                <w:bCs/>
                <w:color w:val="000000" w:themeColor="text1"/>
              </w:rPr>
              <w:t>institution ,</w:t>
            </w:r>
            <w:proofErr w:type="gramEnd"/>
            <w:r w:rsidRPr="00EC4C97">
              <w:rPr>
                <w:rFonts w:ascii="Lato" w:hAnsi="Lato" w:cs="Arial"/>
                <w:bCs/>
                <w:color w:val="000000" w:themeColor="text1"/>
              </w:rPr>
              <w:t xml:space="preserve"> where necessary.</w:t>
            </w:r>
          </w:p>
          <w:p w14:paraId="29D21CC6" w14:textId="7115535A" w:rsidR="001337DD" w:rsidRPr="00EC4C97" w:rsidDel="00C945AE" w:rsidRDefault="001337DD" w:rsidP="001337DD">
            <w:pPr>
              <w:spacing w:after="0" w:line="240" w:lineRule="auto"/>
              <w:rPr>
                <w:rFonts w:ascii="Arial" w:hAnsi="Arial" w:cs="Arial"/>
                <w:b/>
                <w:color w:val="000000" w:themeColor="text1"/>
                <w:lang w:val="en-GB"/>
              </w:rPr>
            </w:pPr>
          </w:p>
        </w:tc>
      </w:tr>
      <w:tr w:rsidR="001337DD" w:rsidRPr="00EC4C97" w14:paraId="47E23077" w14:textId="77777777" w:rsidTr="0031106B">
        <w:trPr>
          <w:trHeight w:hRule="exact" w:val="3314"/>
        </w:trPr>
        <w:tc>
          <w:tcPr>
            <w:tcW w:w="620" w:type="dxa"/>
            <w:tcBorders>
              <w:bottom w:val="single" w:sz="4" w:space="0" w:color="auto"/>
            </w:tcBorders>
            <w:shd w:val="clear" w:color="auto" w:fill="F2F2F2"/>
          </w:tcPr>
          <w:p w14:paraId="0D901A05" w14:textId="77777777" w:rsidR="001337DD" w:rsidRPr="00EC4C97" w:rsidRDefault="001337DD" w:rsidP="00556588">
            <w:pPr>
              <w:spacing w:after="0" w:line="240" w:lineRule="auto"/>
              <w:rPr>
                <w:rFonts w:ascii="Arial" w:hAnsi="Arial" w:cs="Arial"/>
                <w:color w:val="000000" w:themeColor="text1"/>
              </w:rPr>
            </w:pPr>
          </w:p>
        </w:tc>
        <w:tc>
          <w:tcPr>
            <w:tcW w:w="9990" w:type="dxa"/>
            <w:gridSpan w:val="3"/>
          </w:tcPr>
          <w:p w14:paraId="08A15FB5" w14:textId="77777777" w:rsidR="001337DD" w:rsidRPr="00EC4C97" w:rsidRDefault="001337DD" w:rsidP="00556588">
            <w:pPr>
              <w:spacing w:after="160" w:line="240" w:lineRule="auto"/>
              <w:jc w:val="both"/>
              <w:rPr>
                <w:rFonts w:ascii="Arial" w:eastAsiaTheme="minorEastAsia" w:hAnsi="Arial" w:cs="Arial"/>
              </w:rPr>
            </w:pPr>
            <w:r w:rsidRPr="00EC4C97">
              <w:rPr>
                <w:rFonts w:ascii="Arial" w:eastAsiaTheme="minorEastAsia" w:hAnsi="Arial" w:cs="Arial"/>
                <w:b/>
                <w:bCs/>
              </w:rPr>
              <w:t>Financial proposal</w:t>
            </w:r>
            <w:r w:rsidRPr="00EC4C97">
              <w:rPr>
                <w:rFonts w:ascii="Arial" w:eastAsiaTheme="minorEastAsia" w:hAnsi="Arial" w:cs="Arial"/>
              </w:rPr>
              <w:t xml:space="preserve">: submit a </w:t>
            </w:r>
            <w:r w:rsidRPr="00EC4C97">
              <w:rPr>
                <w:rFonts w:ascii="Arial" w:eastAsiaTheme="minorEastAsia" w:hAnsi="Arial" w:cs="Arial"/>
                <w:u w:val="single"/>
              </w:rPr>
              <w:t>signed</w:t>
            </w:r>
            <w:r w:rsidRPr="00EC4C97">
              <w:rPr>
                <w:rFonts w:ascii="Arial" w:eastAsiaTheme="minorEastAsia" w:hAnsi="Arial" w:cs="Arial"/>
              </w:rPr>
              <w:t xml:space="preserve"> financial proposal/ budget of the tasks should be broken down into modules, detailing the following: Consultancy fees, tools development cost, Data processing &amp; analysis, Communication, and Reporting costs and other Miscellaneous (stationery, printing, etc.), inclusive of the Mandatory taxes as per the laws of Somalia.  </w:t>
            </w:r>
          </w:p>
          <w:p w14:paraId="31E1576E" w14:textId="77777777" w:rsidR="001337DD" w:rsidRPr="00EC4C97" w:rsidRDefault="001337DD" w:rsidP="00556588">
            <w:pPr>
              <w:tabs>
                <w:tab w:val="left" w:pos="360"/>
              </w:tabs>
              <w:spacing w:line="240" w:lineRule="auto"/>
              <w:jc w:val="both"/>
              <w:rPr>
                <w:rFonts w:ascii="Arial" w:hAnsi="Arial" w:cs="Arial"/>
                <w:bCs/>
                <w:color w:val="000000" w:themeColor="text1"/>
              </w:rPr>
            </w:pPr>
            <w:r w:rsidRPr="00EC4C97">
              <w:rPr>
                <w:rFonts w:ascii="Arial" w:hAnsi="Arial" w:cs="Arial"/>
                <w:bCs/>
                <w:color w:val="000000" w:themeColor="text1"/>
              </w:rPr>
              <w:t>Detailed financial proposal with budget breakdown including all expenses, fees, and taxes.</w:t>
            </w:r>
          </w:p>
          <w:p w14:paraId="2CE3E50A" w14:textId="77777777" w:rsidR="001337DD" w:rsidRPr="00EC4C97" w:rsidRDefault="001337DD" w:rsidP="00556588">
            <w:pPr>
              <w:tabs>
                <w:tab w:val="left" w:pos="360"/>
              </w:tabs>
              <w:spacing w:line="240" w:lineRule="auto"/>
              <w:jc w:val="both"/>
              <w:rPr>
                <w:rFonts w:ascii="Arial" w:hAnsi="Arial" w:cs="Arial"/>
                <w:bCs/>
                <w:color w:val="000000" w:themeColor="text1"/>
              </w:rPr>
            </w:pPr>
            <m:oMathPara>
              <m:oMath>
                <m:d>
                  <m:dPr>
                    <m:begChr m:val="{"/>
                    <m:endChr m:val="}"/>
                    <m:ctrlPr>
                      <w:rPr>
                        <w:rFonts w:ascii="Cambria Math" w:hAnsi="Cambria Math" w:cs="Arial"/>
                        <w:bCs/>
                        <w:color w:val="000000" w:themeColor="text1"/>
                      </w:rPr>
                    </m:ctrlPr>
                  </m:dPr>
                  <m:e>
                    <m:f>
                      <m:fPr>
                        <m:ctrlPr>
                          <w:rPr>
                            <w:rFonts w:ascii="Cambria Math" w:hAnsi="Cambria Math" w:cs="Arial"/>
                            <w:bCs/>
                            <w:color w:val="000000" w:themeColor="text1"/>
                          </w:rPr>
                        </m:ctrlPr>
                      </m:fPr>
                      <m:num>
                        <m:r>
                          <m:rPr>
                            <m:sty m:val="b"/>
                          </m:rPr>
                          <w:rPr>
                            <w:rFonts w:ascii="Cambria Math" w:hAnsi="Cambria Math" w:cs="Arial"/>
                            <w:color w:val="000000" w:themeColor="text1"/>
                          </w:rPr>
                          <m:t>100</m:t>
                        </m:r>
                        <m:r>
                          <m:rPr>
                            <m:sty m:val="p"/>
                          </m:rPr>
                          <w:rPr>
                            <w:rFonts w:ascii="Cambria Math" w:hAnsi="Cambria Math" w:cs="Arial"/>
                            <w:color w:val="000000" w:themeColor="text1"/>
                          </w:rPr>
                          <m:t xml:space="preserve">% </m:t>
                        </m:r>
                        <m:r>
                          <m:rPr>
                            <m:sty m:val="bi"/>
                          </m:rPr>
                          <w:rPr>
                            <w:rFonts w:ascii="Cambria Math" w:hAnsi="Cambria Math" w:cs="Arial"/>
                            <w:color w:val="000000" w:themeColor="text1"/>
                          </w:rPr>
                          <m:t>x</m:t>
                        </m:r>
                        <m:r>
                          <m:rPr>
                            <m:sty m:val="p"/>
                          </m:rPr>
                          <w:rPr>
                            <w:rFonts w:ascii="Cambria Math" w:hAnsi="Cambria Math" w:cs="Arial"/>
                            <w:color w:val="000000" w:themeColor="text1"/>
                          </w:rPr>
                          <m:t xml:space="preserve"> </m:t>
                        </m:r>
                        <m:r>
                          <m:rPr>
                            <m:sty m:val="bi"/>
                          </m:rPr>
                          <w:rPr>
                            <w:rFonts w:ascii="Cambria Math" w:hAnsi="Cambria Math" w:cs="Arial"/>
                            <w:color w:val="000000" w:themeColor="text1"/>
                          </w:rPr>
                          <m:t>Lowest</m:t>
                        </m:r>
                        <m:r>
                          <m:rPr>
                            <m:sty m:val="p"/>
                          </m:rPr>
                          <w:rPr>
                            <w:rFonts w:ascii="Cambria Math" w:hAnsi="Cambria Math" w:cs="Arial"/>
                            <w:color w:val="000000" w:themeColor="text1"/>
                          </w:rPr>
                          <m:t xml:space="preserve"> </m:t>
                        </m:r>
                        <m:r>
                          <m:rPr>
                            <m:sty m:val="bi"/>
                          </m:rPr>
                          <w:rPr>
                            <w:rFonts w:ascii="Cambria Math" w:hAnsi="Cambria Math" w:cs="Arial"/>
                            <w:color w:val="000000" w:themeColor="text1"/>
                          </w:rPr>
                          <m:t>bid</m:t>
                        </m:r>
                        <m:r>
                          <m:rPr>
                            <m:sty m:val="p"/>
                          </m:rPr>
                          <w:rPr>
                            <w:rFonts w:ascii="Cambria Math" w:hAnsi="Cambria Math" w:cs="Arial"/>
                            <w:color w:val="000000" w:themeColor="text1"/>
                          </w:rPr>
                          <m:t xml:space="preserve"> </m:t>
                        </m:r>
                        <m:r>
                          <m:rPr>
                            <m:sty m:val="bi"/>
                          </m:rPr>
                          <w:rPr>
                            <w:rFonts w:ascii="Cambria Math" w:hAnsi="Cambria Math" w:cs="Arial"/>
                            <w:color w:val="000000" w:themeColor="text1"/>
                          </w:rPr>
                          <m:t>value</m:t>
                        </m:r>
                      </m:num>
                      <m:den>
                        <m:r>
                          <m:rPr>
                            <m:sty m:val="bi"/>
                          </m:rPr>
                          <w:rPr>
                            <w:rFonts w:ascii="Cambria Math" w:hAnsi="Cambria Math" w:cs="Arial"/>
                            <w:color w:val="000000" w:themeColor="text1"/>
                          </w:rPr>
                          <m:t>Current</m:t>
                        </m:r>
                        <m:r>
                          <m:rPr>
                            <m:sty m:val="p"/>
                          </m:rPr>
                          <w:rPr>
                            <w:rFonts w:ascii="Cambria Math" w:hAnsi="Cambria Math" w:cs="Arial"/>
                            <w:color w:val="000000" w:themeColor="text1"/>
                          </w:rPr>
                          <m:t xml:space="preserve"> </m:t>
                        </m:r>
                        <m:r>
                          <m:rPr>
                            <m:sty m:val="bi"/>
                          </m:rPr>
                          <w:rPr>
                            <w:rFonts w:ascii="Cambria Math" w:hAnsi="Cambria Math" w:cs="Arial"/>
                            <w:color w:val="000000" w:themeColor="text1"/>
                          </w:rPr>
                          <m:t>value</m:t>
                        </m:r>
                        <m:r>
                          <m:rPr>
                            <m:sty m:val="p"/>
                          </m:rPr>
                          <w:rPr>
                            <w:rFonts w:ascii="Cambria Math" w:hAnsi="Cambria Math" w:cs="Arial"/>
                            <w:color w:val="000000" w:themeColor="text1"/>
                          </w:rPr>
                          <m:t xml:space="preserve"> </m:t>
                        </m:r>
                        <m:r>
                          <m:rPr>
                            <m:sty m:val="bi"/>
                          </m:rPr>
                          <w:rPr>
                            <w:rFonts w:ascii="Cambria Math" w:hAnsi="Cambria Math" w:cs="Arial"/>
                            <w:color w:val="000000" w:themeColor="text1"/>
                          </w:rPr>
                          <m:t>bid</m:t>
                        </m:r>
                      </m:den>
                    </m:f>
                  </m:e>
                </m:d>
                <m:r>
                  <m:rPr>
                    <m:sty m:val="p"/>
                  </m:rPr>
                  <w:rPr>
                    <w:rFonts w:ascii="Cambria Math" w:hAnsi="Cambria Math" w:cs="Arial"/>
                    <w:color w:val="000000" w:themeColor="text1"/>
                  </w:rPr>
                  <m:t xml:space="preserve"> </m:t>
                </m:r>
                <m:r>
                  <m:rPr>
                    <m:sty m:val="bi"/>
                  </m:rPr>
                  <w:rPr>
                    <w:rFonts w:ascii="Cambria Math" w:hAnsi="Cambria Math" w:cs="Arial"/>
                    <w:color w:val="000000" w:themeColor="text1"/>
                  </w:rPr>
                  <m:t>x</m:t>
                </m:r>
                <m:r>
                  <m:rPr>
                    <m:sty m:val="p"/>
                  </m:rPr>
                  <w:rPr>
                    <w:rFonts w:ascii="Cambria Math" w:hAnsi="Cambria Math" w:cs="Arial"/>
                    <w:color w:val="000000" w:themeColor="text1"/>
                  </w:rPr>
                  <m:t xml:space="preserve"> </m:t>
                </m:r>
                <m:r>
                  <m:rPr>
                    <m:sty m:val="b"/>
                  </m:rPr>
                  <w:rPr>
                    <w:rFonts w:ascii="Cambria Math" w:hAnsi="Cambria Math" w:cs="Arial"/>
                    <w:color w:val="000000" w:themeColor="text1"/>
                  </w:rPr>
                  <m:t>%</m:t>
                </m:r>
              </m:oMath>
            </m:oMathPara>
          </w:p>
          <w:p w14:paraId="5B46D83B" w14:textId="1E4A6780" w:rsidR="001337DD" w:rsidRPr="00EC4C97" w:rsidRDefault="001337DD" w:rsidP="001337DD">
            <w:pPr>
              <w:spacing w:after="0" w:line="240" w:lineRule="auto"/>
              <w:rPr>
                <w:rFonts w:ascii="Arial" w:hAnsi="Arial" w:cs="Arial"/>
                <w:b/>
                <w:color w:val="000000" w:themeColor="text1"/>
                <w:lang w:val="en-GB"/>
              </w:rPr>
            </w:pPr>
          </w:p>
        </w:tc>
      </w:tr>
      <w:tr w:rsidR="00B23602" w:rsidRPr="00EC4C97" w14:paraId="69471080" w14:textId="77777777" w:rsidTr="00B84B55">
        <w:trPr>
          <w:trHeight w:hRule="exact" w:val="353"/>
        </w:trPr>
        <w:tc>
          <w:tcPr>
            <w:tcW w:w="620" w:type="dxa"/>
            <w:tcBorders>
              <w:bottom w:val="single" w:sz="4" w:space="0" w:color="auto"/>
            </w:tcBorders>
            <w:shd w:val="clear" w:color="auto" w:fill="F2F2F2"/>
          </w:tcPr>
          <w:p w14:paraId="6947107C" w14:textId="77777777" w:rsidR="00B23602" w:rsidRPr="00EC4C97" w:rsidRDefault="00B23602" w:rsidP="00556588">
            <w:pPr>
              <w:spacing w:line="240" w:lineRule="auto"/>
              <w:rPr>
                <w:rFonts w:ascii="Arial" w:hAnsi="Arial" w:cs="Arial"/>
                <w:color w:val="000000" w:themeColor="text1"/>
              </w:rPr>
            </w:pPr>
          </w:p>
        </w:tc>
        <w:tc>
          <w:tcPr>
            <w:tcW w:w="7290" w:type="dxa"/>
            <w:gridSpan w:val="2"/>
            <w:tcBorders>
              <w:bottom w:val="single" w:sz="4" w:space="0" w:color="auto"/>
            </w:tcBorders>
            <w:shd w:val="clear" w:color="auto" w:fill="BFBFBF" w:themeFill="background1" w:themeFillShade="BF"/>
          </w:tcPr>
          <w:p w14:paraId="6947107D" w14:textId="77777777" w:rsidR="00B23602" w:rsidRPr="00EC4C97" w:rsidRDefault="00B60DB0" w:rsidP="00556588">
            <w:pPr>
              <w:spacing w:line="240" w:lineRule="auto"/>
              <w:rPr>
                <w:rFonts w:ascii="Arial" w:hAnsi="Arial" w:cs="Arial"/>
                <w:bCs/>
                <w:color w:val="000000" w:themeColor="text1"/>
              </w:rPr>
            </w:pPr>
            <w:r w:rsidRPr="00EC4C97">
              <w:rPr>
                <w:rFonts w:ascii="Arial" w:hAnsi="Arial" w:cs="Arial"/>
                <w:bCs/>
                <w:color w:val="000000" w:themeColor="text1"/>
              </w:rPr>
              <w:t xml:space="preserve">Total </w:t>
            </w:r>
          </w:p>
          <w:p w14:paraId="6947107E" w14:textId="77777777" w:rsidR="00B23602" w:rsidRPr="00EC4C97" w:rsidRDefault="00B23602" w:rsidP="00556588">
            <w:pPr>
              <w:spacing w:line="240" w:lineRule="auto"/>
              <w:rPr>
                <w:rFonts w:ascii="Arial" w:hAnsi="Arial" w:cs="Arial"/>
                <w:bCs/>
                <w:color w:val="000000" w:themeColor="text1"/>
              </w:rPr>
            </w:pPr>
          </w:p>
        </w:tc>
        <w:tc>
          <w:tcPr>
            <w:tcW w:w="2700" w:type="dxa"/>
            <w:tcBorders>
              <w:bottom w:val="single" w:sz="4" w:space="0" w:color="auto"/>
            </w:tcBorders>
            <w:shd w:val="clear" w:color="auto" w:fill="BFBFBF" w:themeFill="background1" w:themeFillShade="BF"/>
          </w:tcPr>
          <w:p w14:paraId="6947107F" w14:textId="77777777" w:rsidR="00B23602" w:rsidRPr="00EC4C97" w:rsidRDefault="00B60DB0" w:rsidP="00556588">
            <w:pPr>
              <w:spacing w:line="240" w:lineRule="auto"/>
              <w:jc w:val="center"/>
              <w:rPr>
                <w:rFonts w:ascii="Arial" w:hAnsi="Arial" w:cs="Arial"/>
                <w:b/>
                <w:color w:val="000000" w:themeColor="text1"/>
              </w:rPr>
            </w:pPr>
            <w:r w:rsidRPr="00EC4C97">
              <w:rPr>
                <w:rFonts w:ascii="Arial" w:hAnsi="Arial" w:cs="Arial"/>
                <w:b/>
                <w:color w:val="000000" w:themeColor="text1"/>
              </w:rPr>
              <w:t>100 marks</w:t>
            </w:r>
          </w:p>
        </w:tc>
      </w:tr>
      <w:tr w:rsidR="00B23602" w:rsidRPr="00EC4C97" w14:paraId="69471083" w14:textId="77777777" w:rsidTr="0092411A">
        <w:trPr>
          <w:trHeight w:hRule="exact" w:val="884"/>
        </w:trPr>
        <w:tc>
          <w:tcPr>
            <w:tcW w:w="10610" w:type="dxa"/>
            <w:gridSpan w:val="4"/>
            <w:tcBorders>
              <w:bottom w:val="single" w:sz="4" w:space="0" w:color="auto"/>
            </w:tcBorders>
            <w:shd w:val="clear" w:color="auto" w:fill="F2F2F2"/>
          </w:tcPr>
          <w:p w14:paraId="69471081" w14:textId="3B24C145" w:rsidR="00B23602" w:rsidRPr="00EC4C97" w:rsidRDefault="00B60DB0" w:rsidP="00556588">
            <w:pPr>
              <w:spacing w:line="240" w:lineRule="auto"/>
              <w:jc w:val="both"/>
              <w:rPr>
                <w:rFonts w:ascii="Arial" w:eastAsiaTheme="minorEastAsia" w:hAnsi="Arial" w:cs="Arial"/>
              </w:rPr>
            </w:pPr>
            <w:r w:rsidRPr="00EC4C97">
              <w:rPr>
                <w:rFonts w:ascii="Arial" w:eastAsiaTheme="minorEastAsia" w:hAnsi="Arial" w:cs="Arial"/>
              </w:rPr>
              <w:lastRenderedPageBreak/>
              <w:t xml:space="preserve">Note: For the technical analysis, the Firm must score </w:t>
            </w:r>
            <w:r w:rsidRPr="00EC4C97">
              <w:rPr>
                <w:rFonts w:ascii="Arial" w:eastAsiaTheme="minorEastAsia" w:hAnsi="Arial" w:cs="Arial"/>
                <w:b/>
                <w:bCs/>
              </w:rPr>
              <w:t>60%</w:t>
            </w:r>
            <w:r w:rsidRPr="00EC4C97">
              <w:rPr>
                <w:rFonts w:ascii="Arial" w:eastAsiaTheme="minorEastAsia" w:hAnsi="Arial" w:cs="Arial"/>
              </w:rPr>
              <w:t xml:space="preserve"> and above on the capability to be considered in the next evaluation process and the ultimate decision will be based on interview performance.</w:t>
            </w:r>
          </w:p>
          <w:p w14:paraId="69471082" w14:textId="77777777" w:rsidR="00B23602" w:rsidRPr="00EC4C97" w:rsidRDefault="00B23602" w:rsidP="00556588">
            <w:pPr>
              <w:spacing w:line="240" w:lineRule="auto"/>
              <w:jc w:val="both"/>
              <w:rPr>
                <w:rFonts w:ascii="Arial" w:eastAsiaTheme="minorEastAsia" w:hAnsi="Arial" w:cs="Arial"/>
              </w:rPr>
            </w:pPr>
          </w:p>
        </w:tc>
      </w:tr>
      <w:tr w:rsidR="00B23602" w:rsidRPr="00EC4C97" w14:paraId="6947109E" w14:textId="77777777" w:rsidTr="00C91122">
        <w:trPr>
          <w:trHeight w:hRule="exact" w:val="11764"/>
        </w:trPr>
        <w:tc>
          <w:tcPr>
            <w:tcW w:w="620" w:type="dxa"/>
            <w:tcBorders>
              <w:top w:val="single" w:sz="4" w:space="0" w:color="auto"/>
              <w:bottom w:val="single" w:sz="4" w:space="0" w:color="auto"/>
            </w:tcBorders>
            <w:shd w:val="clear" w:color="auto" w:fill="F2F2F2"/>
          </w:tcPr>
          <w:p w14:paraId="69471084" w14:textId="77777777" w:rsidR="00B23602" w:rsidRPr="00EC4C97" w:rsidRDefault="00B60DB0" w:rsidP="00556588">
            <w:pPr>
              <w:spacing w:line="240" w:lineRule="auto"/>
              <w:rPr>
                <w:rFonts w:ascii="Arial" w:hAnsi="Arial" w:cs="Arial"/>
                <w:color w:val="000000" w:themeColor="text1"/>
              </w:rPr>
            </w:pPr>
            <w:r w:rsidRPr="00EC4C97">
              <w:rPr>
                <w:rFonts w:ascii="Arial" w:hAnsi="Arial" w:cs="Arial"/>
                <w:color w:val="000000" w:themeColor="text1"/>
              </w:rPr>
              <w:t>11</w:t>
            </w:r>
          </w:p>
        </w:tc>
        <w:tc>
          <w:tcPr>
            <w:tcW w:w="3150" w:type="dxa"/>
            <w:tcBorders>
              <w:top w:val="single" w:sz="4" w:space="0" w:color="auto"/>
              <w:bottom w:val="single" w:sz="4" w:space="0" w:color="auto"/>
            </w:tcBorders>
            <w:shd w:val="clear" w:color="auto" w:fill="F2F2F2"/>
          </w:tcPr>
          <w:p w14:paraId="69471085" w14:textId="77777777" w:rsidR="00B23602" w:rsidRPr="00EC4C97" w:rsidRDefault="00B60DB0" w:rsidP="00556588">
            <w:pPr>
              <w:spacing w:line="240" w:lineRule="auto"/>
              <w:rPr>
                <w:rFonts w:ascii="Arial" w:hAnsi="Arial" w:cs="Arial"/>
                <w:b/>
                <w:color w:val="000000" w:themeColor="text1"/>
              </w:rPr>
            </w:pPr>
            <w:r w:rsidRPr="00EC4C97">
              <w:rPr>
                <w:rFonts w:ascii="Arial" w:hAnsi="Arial" w:cs="Arial"/>
                <w:b/>
                <w:color w:val="000000" w:themeColor="text1"/>
              </w:rPr>
              <w:t>Application Procedure</w:t>
            </w:r>
          </w:p>
        </w:tc>
        <w:tc>
          <w:tcPr>
            <w:tcW w:w="6840" w:type="dxa"/>
            <w:gridSpan w:val="2"/>
            <w:tcBorders>
              <w:top w:val="single" w:sz="4" w:space="0" w:color="auto"/>
              <w:bottom w:val="single" w:sz="4" w:space="0" w:color="auto"/>
            </w:tcBorders>
          </w:tcPr>
          <w:p w14:paraId="56AE0DEB" w14:textId="307B0BFC" w:rsidR="00D53743" w:rsidRPr="00EC4C97" w:rsidRDefault="00B60DB0" w:rsidP="00556588">
            <w:pPr>
              <w:pStyle w:val="ListParagraph"/>
              <w:numPr>
                <w:ilvl w:val="0"/>
                <w:numId w:val="1"/>
              </w:numPr>
              <w:jc w:val="both"/>
              <w:rPr>
                <w:rFonts w:ascii="Arial" w:hAnsi="Arial" w:cs="Arial"/>
                <w:color w:val="000000" w:themeColor="text1"/>
                <w:sz w:val="22"/>
                <w:szCs w:val="22"/>
              </w:rPr>
            </w:pPr>
            <w:r w:rsidRPr="00EC4C97">
              <w:rPr>
                <w:rFonts w:ascii="Arial" w:hAnsi="Arial" w:cs="Arial"/>
                <w:color w:val="000000" w:themeColor="text1"/>
                <w:sz w:val="22"/>
                <w:szCs w:val="22"/>
              </w:rPr>
              <w:t xml:space="preserve">Interested firms who meet the requirements are requested to submit their bid and each application package should include the above required minimum requirements. </w:t>
            </w:r>
          </w:p>
          <w:p w14:paraId="164F23F7" w14:textId="77777777" w:rsidR="00D53743" w:rsidRPr="00EC4C97" w:rsidRDefault="00D53743" w:rsidP="00556588">
            <w:pPr>
              <w:pStyle w:val="ListParagraph"/>
              <w:ind w:left="360"/>
              <w:jc w:val="both"/>
              <w:rPr>
                <w:rFonts w:ascii="Arial" w:hAnsi="Arial" w:cs="Arial"/>
                <w:color w:val="000000" w:themeColor="text1"/>
                <w:sz w:val="22"/>
                <w:szCs w:val="22"/>
              </w:rPr>
            </w:pPr>
          </w:p>
          <w:p w14:paraId="02756CF8" w14:textId="6DE21BBD" w:rsidR="00D53743" w:rsidRPr="00EC4C97" w:rsidRDefault="00B60DB0" w:rsidP="00556588">
            <w:pPr>
              <w:pStyle w:val="ListParagraph"/>
              <w:ind w:left="360"/>
              <w:jc w:val="both"/>
              <w:rPr>
                <w:rFonts w:ascii="Arial" w:hAnsi="Arial" w:cs="Arial"/>
                <w:color w:val="000000" w:themeColor="text1"/>
                <w:sz w:val="22"/>
                <w:szCs w:val="22"/>
              </w:rPr>
            </w:pPr>
            <w:r w:rsidRPr="00EC4C97">
              <w:rPr>
                <w:rFonts w:ascii="Arial" w:hAnsi="Arial" w:cs="Arial"/>
                <w:color w:val="000000" w:themeColor="text1"/>
                <w:sz w:val="22"/>
                <w:szCs w:val="22"/>
              </w:rPr>
              <w:t>Applications can be submitted by either:</w:t>
            </w:r>
          </w:p>
          <w:p w14:paraId="69471089" w14:textId="61D34E73" w:rsidR="00B23602" w:rsidRPr="00EC4C97" w:rsidRDefault="00B60DB0" w:rsidP="00556588">
            <w:pPr>
              <w:pStyle w:val="ListParagraph"/>
              <w:ind w:left="360"/>
              <w:jc w:val="both"/>
              <w:rPr>
                <w:rFonts w:ascii="Arial" w:hAnsi="Arial" w:cs="Arial"/>
                <w:color w:val="000000" w:themeColor="text1"/>
                <w:sz w:val="22"/>
                <w:szCs w:val="22"/>
              </w:rPr>
            </w:pPr>
            <w:r w:rsidRPr="00EC4C97">
              <w:rPr>
                <w:rFonts w:ascii="Arial" w:hAnsi="Arial" w:cs="Arial"/>
                <w:b/>
                <w:color w:val="000000" w:themeColor="text1"/>
                <w:sz w:val="22"/>
                <w:szCs w:val="22"/>
              </w:rPr>
              <w:t xml:space="preserve">Electronic Submission via </w:t>
            </w:r>
            <w:proofErr w:type="spellStart"/>
            <w:r w:rsidRPr="00EC4C97">
              <w:rPr>
                <w:rFonts w:ascii="Arial" w:hAnsi="Arial" w:cs="Arial"/>
                <w:b/>
                <w:color w:val="000000" w:themeColor="text1"/>
                <w:sz w:val="22"/>
                <w:szCs w:val="22"/>
              </w:rPr>
              <w:t>ProSave</w:t>
            </w:r>
            <w:proofErr w:type="spellEnd"/>
            <w:r w:rsidRPr="00EC4C97">
              <w:rPr>
                <w:rFonts w:ascii="Arial" w:hAnsi="Arial" w:cs="Arial"/>
                <w:b/>
                <w:color w:val="000000" w:themeColor="text1"/>
                <w:sz w:val="22"/>
                <w:szCs w:val="22"/>
              </w:rPr>
              <w:t xml:space="preserve"> (Recommended) </w:t>
            </w:r>
          </w:p>
          <w:p w14:paraId="6947108A" w14:textId="77777777" w:rsidR="00B23602" w:rsidRPr="00EC4C97" w:rsidRDefault="00B60DB0" w:rsidP="00556588">
            <w:pPr>
              <w:pStyle w:val="ListParagraph"/>
              <w:numPr>
                <w:ilvl w:val="0"/>
                <w:numId w:val="2"/>
              </w:numPr>
              <w:ind w:left="360"/>
              <w:jc w:val="both"/>
              <w:rPr>
                <w:rFonts w:ascii="Arial" w:hAnsi="Arial" w:cs="Arial"/>
                <w:color w:val="000000" w:themeColor="text1"/>
                <w:sz w:val="22"/>
                <w:szCs w:val="22"/>
              </w:rPr>
            </w:pPr>
            <w:r w:rsidRPr="00EC4C97">
              <w:rPr>
                <w:rFonts w:ascii="Arial" w:hAnsi="Arial" w:cs="Arial"/>
                <w:color w:val="000000" w:themeColor="text1"/>
                <w:sz w:val="22"/>
                <w:szCs w:val="22"/>
              </w:rPr>
              <w:t>Submit your response in accordance with the guidance provided in the below document:</w:t>
            </w:r>
          </w:p>
          <w:p w14:paraId="6947108B" w14:textId="77777777" w:rsidR="00B23602" w:rsidRPr="00EC4C97" w:rsidRDefault="002D5DB8" w:rsidP="00556588">
            <w:pPr>
              <w:spacing w:after="0" w:line="240" w:lineRule="auto"/>
              <w:jc w:val="center"/>
              <w:rPr>
                <w:rFonts w:ascii="Arial" w:hAnsi="Arial" w:cs="Arial"/>
                <w:color w:val="000000" w:themeColor="text1"/>
              </w:rPr>
            </w:pPr>
            <w:r w:rsidRPr="00EC4C97">
              <w:rPr>
                <w:rFonts w:ascii="Arial" w:hAnsi="Arial" w:cs="Arial"/>
                <w:noProof/>
                <w:color w:val="000000" w:themeColor="text1"/>
              </w:rPr>
              <w:object w:dxaOrig="1525" w:dyaOrig="1000" w14:anchorId="0D3D8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50.25pt;mso-width-percent:0;mso-height-percent:0;mso-width-percent:0;mso-height-percent:0" o:ole="">
                  <v:imagedata r:id="rId11" o:title=""/>
                </v:shape>
                <o:OLEObject Type="Embed" ProgID="PowerPoint.Show.12" ShapeID="_x0000_i1025" DrawAspect="Icon" ObjectID="_1839664998" r:id="rId12"/>
              </w:object>
            </w:r>
          </w:p>
          <w:p w14:paraId="6947108C" w14:textId="2342CE3E" w:rsidR="00B23602" w:rsidRPr="00EC4C97" w:rsidRDefault="00B60DB0" w:rsidP="00556588">
            <w:pPr>
              <w:pStyle w:val="ListParagraph"/>
              <w:numPr>
                <w:ilvl w:val="0"/>
                <w:numId w:val="3"/>
              </w:numPr>
              <w:jc w:val="both"/>
              <w:rPr>
                <w:rFonts w:ascii="Arial" w:eastAsia="Times New Roman" w:hAnsi="Arial" w:cs="Arial"/>
                <w:color w:val="000000" w:themeColor="text1"/>
                <w:sz w:val="22"/>
                <w:szCs w:val="22"/>
                <w:lang w:eastAsia="ar-SA"/>
              </w:rPr>
            </w:pPr>
            <w:r w:rsidRPr="00EC4C97">
              <w:rPr>
                <w:rFonts w:ascii="Arial" w:eastAsia="Times New Roman" w:hAnsi="Arial" w:cs="Arial"/>
                <w:color w:val="000000" w:themeColor="text1"/>
                <w:sz w:val="22"/>
                <w:szCs w:val="22"/>
                <w:lang w:eastAsia="ar-SA"/>
              </w:rPr>
              <w:t xml:space="preserve">Bidders are encouraged to apply via Ariba system. Please request the Ariba link via email sending your company profile and Business registration certificate/CV. Please address your Ariba link request to </w:t>
            </w:r>
            <w:hyperlink r:id="rId13" w:history="1">
              <w:r w:rsidRPr="00EC4C97">
                <w:rPr>
                  <w:rStyle w:val="Hyperlink"/>
                  <w:rFonts w:ascii="Arial" w:hAnsi="Arial" w:cs="Arial"/>
                  <w:sz w:val="22"/>
                  <w:szCs w:val="22"/>
                </w:rPr>
                <w:t>css.logistics@savethechildren.org</w:t>
              </w:r>
            </w:hyperlink>
            <w:r w:rsidRPr="00EC4C97">
              <w:rPr>
                <w:rStyle w:val="Hyperlink"/>
                <w:rFonts w:ascii="Arial" w:hAnsi="Arial" w:cs="Arial"/>
                <w:color w:val="000000" w:themeColor="text1"/>
                <w:sz w:val="22"/>
                <w:szCs w:val="22"/>
              </w:rPr>
              <w:t xml:space="preserve"> </w:t>
            </w:r>
            <w:r w:rsidRPr="00EC4C97">
              <w:rPr>
                <w:rFonts w:ascii="Arial" w:eastAsia="Times New Roman" w:hAnsi="Arial" w:cs="Arial"/>
                <w:color w:val="000000" w:themeColor="text1"/>
                <w:sz w:val="22"/>
                <w:szCs w:val="22"/>
                <w:lang w:eastAsia="ar-SA"/>
              </w:rPr>
              <w:t xml:space="preserve">  </w:t>
            </w:r>
          </w:p>
          <w:p w14:paraId="58EFD0B2" w14:textId="77777777" w:rsidR="00280E14" w:rsidRPr="00EC4C97" w:rsidRDefault="00280E14" w:rsidP="00556588">
            <w:pPr>
              <w:pStyle w:val="ListParagraph"/>
              <w:numPr>
                <w:ilvl w:val="0"/>
                <w:numId w:val="3"/>
              </w:numPr>
              <w:jc w:val="both"/>
              <w:rPr>
                <w:rFonts w:ascii="Arial" w:eastAsia="Times New Roman" w:hAnsi="Arial" w:cs="Arial"/>
                <w:color w:val="000000" w:themeColor="text1"/>
                <w:sz w:val="22"/>
                <w:szCs w:val="22"/>
                <w:lang w:eastAsia="ar-SA"/>
              </w:rPr>
            </w:pPr>
            <w:r w:rsidRPr="00EC4C97">
              <w:rPr>
                <w:rFonts w:ascii="Arial" w:eastAsia="Times New Roman" w:hAnsi="Arial" w:cs="Arial"/>
                <w:color w:val="000000" w:themeColor="text1"/>
                <w:sz w:val="22"/>
                <w:szCs w:val="22"/>
                <w:lang w:eastAsia="ar-SA"/>
              </w:rPr>
              <w:t>Note – this is a sealed tender box which will not be opened until the tender has closed. Therefore, do not send tender related questions to this email address as they will not be answered.</w:t>
            </w:r>
          </w:p>
          <w:p w14:paraId="74C16B84" w14:textId="77777777" w:rsidR="00C91122" w:rsidRPr="00EC4C97" w:rsidRDefault="00C91122" w:rsidP="00556588">
            <w:pPr>
              <w:spacing w:after="0" w:line="240" w:lineRule="auto"/>
              <w:jc w:val="both"/>
              <w:rPr>
                <w:rFonts w:ascii="Arial" w:hAnsi="Arial" w:cs="Arial"/>
                <w:b/>
                <w:color w:val="000000" w:themeColor="text1"/>
              </w:rPr>
            </w:pPr>
          </w:p>
          <w:p w14:paraId="6947108E" w14:textId="6AB6755D"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
                <w:color w:val="000000" w:themeColor="text1"/>
              </w:rPr>
              <w:t xml:space="preserve">Electronic Submission via Protected Email box (Optional) </w:t>
            </w:r>
          </w:p>
          <w:p w14:paraId="6947108F" w14:textId="72741A2E" w:rsidR="00B23602" w:rsidRPr="00EC4C97" w:rsidRDefault="00F80FE8" w:rsidP="00556588">
            <w:pPr>
              <w:spacing w:line="240" w:lineRule="auto"/>
              <w:rPr>
                <w:rStyle w:val="Hyperlink"/>
                <w:rFonts w:ascii="Arial" w:hAnsi="Arial" w:cs="Arial"/>
              </w:rPr>
            </w:pPr>
            <w:r w:rsidRPr="00EC4C97">
              <w:rPr>
                <w:rFonts w:ascii="Arial" w:eastAsia="Times New Roman" w:hAnsi="Arial" w:cs="Arial"/>
                <w:color w:val="000000" w:themeColor="text1"/>
                <w:lang w:eastAsia="ar-SA"/>
              </w:rPr>
              <w:t>Applications must be submitted via email</w:t>
            </w:r>
            <w:r w:rsidRPr="00EC4C97">
              <w:rPr>
                <w:rFonts w:ascii="Arial" w:hAnsi="Arial" w:cs="Arial"/>
                <w:color w:val="000000" w:themeColor="text1"/>
              </w:rPr>
              <w:t xml:space="preserve"> should be addressed to </w:t>
            </w:r>
            <w:hyperlink r:id="rId14" w:history="1">
              <w:r w:rsidRPr="00EC4C97">
                <w:rPr>
                  <w:rStyle w:val="Hyperlink"/>
                  <w:rFonts w:ascii="Arial" w:hAnsi="Arial" w:cs="Arial"/>
                </w:rPr>
                <w:t>Somalia.GPEProcurement@savethechildren.org</w:t>
              </w:r>
            </w:hyperlink>
          </w:p>
          <w:p w14:paraId="5FE52E2C" w14:textId="4B08F795" w:rsidR="00F80FE8" w:rsidRPr="00EC4C97" w:rsidRDefault="00206A7F" w:rsidP="00556588">
            <w:pPr>
              <w:pStyle w:val="ListParagraph"/>
              <w:numPr>
                <w:ilvl w:val="0"/>
                <w:numId w:val="3"/>
              </w:numPr>
              <w:jc w:val="both"/>
              <w:rPr>
                <w:rFonts w:ascii="Arial" w:eastAsia="Times New Roman" w:hAnsi="Arial" w:cs="Arial"/>
                <w:color w:val="000000" w:themeColor="text1"/>
                <w:sz w:val="22"/>
                <w:szCs w:val="22"/>
                <w:lang w:eastAsia="ar-SA"/>
              </w:rPr>
            </w:pPr>
            <w:r w:rsidRPr="00EC4C97">
              <w:rPr>
                <w:rFonts w:ascii="Arial" w:eastAsia="Times New Roman" w:hAnsi="Arial" w:cs="Arial"/>
                <w:color w:val="000000" w:themeColor="text1"/>
                <w:sz w:val="22"/>
                <w:szCs w:val="22"/>
                <w:lang w:val="en-US" w:eastAsia="ar-SA"/>
              </w:rPr>
              <w:t>The subject line of the email should read: “</w:t>
            </w:r>
            <w:r w:rsidRPr="00EC4C97">
              <w:rPr>
                <w:rFonts w:ascii="Arial" w:eastAsia="Times New Roman" w:hAnsi="Arial" w:cs="Arial"/>
                <w:b/>
                <w:bCs/>
                <w:color w:val="000000" w:themeColor="text1"/>
                <w:sz w:val="22"/>
                <w:szCs w:val="22"/>
                <w:lang w:val="en-US" w:eastAsia="ar-SA"/>
              </w:rPr>
              <w:t xml:space="preserve">Consultancy Services for Research </w:t>
            </w:r>
            <w:r w:rsidR="009812FF" w:rsidRPr="00EC4C97">
              <w:rPr>
                <w:rFonts w:ascii="Arial" w:hAnsi="Arial" w:cs="Arial"/>
                <w:b/>
                <w:bCs/>
                <w:color w:val="000000" w:themeColor="text1"/>
                <w:sz w:val="22"/>
                <w:szCs w:val="22"/>
              </w:rPr>
              <w:t>on the Impact of Mother Tongue (Somali) Instruction on Academic Performance in Primary and Secondary Education in Somalia</w:t>
            </w:r>
            <w:r w:rsidRPr="00EC4C97">
              <w:rPr>
                <w:rFonts w:ascii="Arial" w:eastAsia="Times New Roman" w:hAnsi="Arial" w:cs="Arial"/>
                <w:color w:val="000000" w:themeColor="text1"/>
                <w:sz w:val="22"/>
                <w:szCs w:val="22"/>
                <w:lang w:val="en-US" w:eastAsia="ar-SA"/>
              </w:rPr>
              <w:t xml:space="preserve">” Applicants are required to submit both a technical proposal and a financial proposal combined into a </w:t>
            </w:r>
            <w:r w:rsidRPr="00EC4C97">
              <w:rPr>
                <w:rFonts w:ascii="Arial" w:eastAsia="Times New Roman" w:hAnsi="Arial" w:cs="Arial"/>
                <w:b/>
                <w:bCs/>
                <w:color w:val="000000" w:themeColor="text1"/>
                <w:sz w:val="22"/>
                <w:szCs w:val="22"/>
                <w:lang w:val="en-US" w:eastAsia="ar-SA"/>
              </w:rPr>
              <w:t>single PDF document</w:t>
            </w:r>
            <w:r w:rsidRPr="00EC4C97">
              <w:rPr>
                <w:rFonts w:ascii="Arial" w:eastAsia="Times New Roman" w:hAnsi="Arial" w:cs="Arial"/>
                <w:color w:val="000000" w:themeColor="text1"/>
                <w:sz w:val="22"/>
                <w:szCs w:val="22"/>
                <w:lang w:val="en-US" w:eastAsia="ar-SA"/>
              </w:rPr>
              <w:t>.</w:t>
            </w:r>
          </w:p>
          <w:p w14:paraId="69471092" w14:textId="4D350991" w:rsidR="00B23602" w:rsidRPr="00EC4C97" w:rsidRDefault="00B60DB0" w:rsidP="00556588">
            <w:pPr>
              <w:pStyle w:val="ListParagraph"/>
              <w:numPr>
                <w:ilvl w:val="0"/>
                <w:numId w:val="3"/>
              </w:numPr>
              <w:jc w:val="both"/>
              <w:rPr>
                <w:rFonts w:ascii="Arial" w:eastAsia="Times New Roman" w:hAnsi="Arial" w:cs="Arial"/>
                <w:color w:val="000000" w:themeColor="text1"/>
                <w:sz w:val="22"/>
                <w:szCs w:val="22"/>
                <w:lang w:eastAsia="ar-SA"/>
              </w:rPr>
            </w:pPr>
            <w:r w:rsidRPr="00EC4C97">
              <w:rPr>
                <w:rFonts w:ascii="Arial" w:eastAsia="Times New Roman" w:hAnsi="Arial" w:cs="Arial"/>
                <w:color w:val="000000" w:themeColor="text1"/>
                <w:sz w:val="22"/>
                <w:szCs w:val="22"/>
                <w:lang w:eastAsia="ar-SA"/>
              </w:rPr>
              <w:t>All attached documents should be clearly labelled so it is clear to understand what each file relates to.</w:t>
            </w:r>
          </w:p>
          <w:p w14:paraId="69471093" w14:textId="77777777" w:rsidR="00B23602" w:rsidRPr="00EC4C97" w:rsidRDefault="00B60DB0" w:rsidP="00556588">
            <w:pPr>
              <w:pStyle w:val="ListParagraph"/>
              <w:numPr>
                <w:ilvl w:val="0"/>
                <w:numId w:val="3"/>
              </w:numPr>
              <w:jc w:val="both"/>
              <w:rPr>
                <w:rFonts w:ascii="Arial" w:eastAsia="Times New Roman" w:hAnsi="Arial" w:cs="Arial"/>
                <w:color w:val="000000" w:themeColor="text1"/>
                <w:sz w:val="22"/>
                <w:szCs w:val="22"/>
                <w:lang w:eastAsia="ar-SA"/>
              </w:rPr>
            </w:pPr>
            <w:r w:rsidRPr="00EC4C97">
              <w:rPr>
                <w:rFonts w:ascii="Arial" w:eastAsia="Times New Roman" w:hAnsi="Arial" w:cs="Arial"/>
                <w:color w:val="000000" w:themeColor="text1"/>
                <w:sz w:val="22"/>
                <w:szCs w:val="22"/>
                <w:lang w:eastAsia="ar-SA"/>
              </w:rPr>
              <w:t xml:space="preserve">Emails should not exceed 15mb – if the file sizes are large, please split the submission into two emails.  </w:t>
            </w:r>
          </w:p>
          <w:p w14:paraId="69471094" w14:textId="77777777" w:rsidR="00B23602" w:rsidRPr="00EC4C97" w:rsidRDefault="00B60DB0" w:rsidP="00556588">
            <w:pPr>
              <w:pStyle w:val="ListParagraph"/>
              <w:numPr>
                <w:ilvl w:val="0"/>
                <w:numId w:val="3"/>
              </w:numPr>
              <w:jc w:val="both"/>
              <w:rPr>
                <w:rFonts w:ascii="Arial" w:eastAsia="Times New Roman" w:hAnsi="Arial" w:cs="Arial"/>
                <w:color w:val="000000" w:themeColor="text1"/>
                <w:sz w:val="22"/>
                <w:szCs w:val="22"/>
                <w:lang w:eastAsia="ar-SA"/>
              </w:rPr>
            </w:pPr>
            <w:r w:rsidRPr="00EC4C97">
              <w:rPr>
                <w:rFonts w:ascii="Arial" w:eastAsia="Times New Roman" w:hAnsi="Arial" w:cs="Arial"/>
                <w:color w:val="000000" w:themeColor="text1"/>
                <w:sz w:val="22"/>
                <w:szCs w:val="22"/>
                <w:lang w:eastAsia="ar-SA"/>
              </w:rPr>
              <w:t xml:space="preserve">Do not copy other SCI email addresses into the email when you submit it as this will invalidate your bid. </w:t>
            </w:r>
          </w:p>
          <w:p w14:paraId="6947109A" w14:textId="77777777" w:rsidR="00B23602" w:rsidRPr="00EC4C97" w:rsidRDefault="00B23602" w:rsidP="00556588">
            <w:pPr>
              <w:spacing w:after="0" w:line="240" w:lineRule="auto"/>
              <w:jc w:val="both"/>
              <w:rPr>
                <w:rFonts w:ascii="Arial" w:eastAsia="Times New Roman" w:hAnsi="Arial" w:cs="Arial"/>
                <w:color w:val="000000" w:themeColor="text1"/>
                <w:lang w:val="en-GB" w:eastAsia="ar-SA"/>
              </w:rPr>
            </w:pPr>
          </w:p>
          <w:p w14:paraId="6947109B" w14:textId="77777777" w:rsidR="00B23602" w:rsidRPr="00EC4C97" w:rsidRDefault="00B60DB0" w:rsidP="00556588">
            <w:pPr>
              <w:spacing w:line="240" w:lineRule="auto"/>
              <w:jc w:val="both"/>
              <w:rPr>
                <w:rFonts w:ascii="Arial" w:eastAsia="Times New Roman" w:hAnsi="Arial" w:cs="Arial"/>
                <w:color w:val="000000" w:themeColor="text1"/>
                <w:lang w:val="en-GB" w:eastAsia="ar-SA"/>
              </w:rPr>
            </w:pPr>
            <w:r w:rsidRPr="00EC4C97">
              <w:rPr>
                <w:rFonts w:ascii="Arial" w:eastAsia="Times New Roman" w:hAnsi="Arial" w:cs="Arial"/>
                <w:color w:val="000000" w:themeColor="text1"/>
                <w:lang w:val="en-GB" w:eastAsia="ar-SA"/>
              </w:rPr>
              <w:t>Applicants should also indicate the date they are available to start working on the consultancy</w:t>
            </w:r>
          </w:p>
          <w:p w14:paraId="6947109C" w14:textId="77777777" w:rsidR="00B23602" w:rsidRPr="00EC4C97" w:rsidRDefault="00B60DB0" w:rsidP="00556588">
            <w:pPr>
              <w:spacing w:line="240" w:lineRule="auto"/>
              <w:jc w:val="both"/>
              <w:rPr>
                <w:rFonts w:ascii="Arial" w:eastAsia="Times New Roman" w:hAnsi="Arial" w:cs="Arial"/>
                <w:color w:val="000000" w:themeColor="text1"/>
                <w:lang w:val="en-GB" w:eastAsia="ar-SA"/>
              </w:rPr>
            </w:pPr>
            <w:r w:rsidRPr="00EC4C97">
              <w:rPr>
                <w:rFonts w:ascii="Arial" w:eastAsia="Times New Roman" w:hAnsi="Arial" w:cs="Arial"/>
                <w:color w:val="000000" w:themeColor="text1"/>
                <w:lang w:val="en-GB" w:eastAsia="ar-SA"/>
              </w:rPr>
              <w:t>All applications MUST be submitted on or before the closing date below to be considered for the assignment.</w:t>
            </w:r>
          </w:p>
          <w:p w14:paraId="6947109D" w14:textId="77777777" w:rsidR="00B23602" w:rsidRPr="00EC4C97" w:rsidRDefault="00B60DB0" w:rsidP="00556588">
            <w:pPr>
              <w:spacing w:line="240" w:lineRule="auto"/>
              <w:jc w:val="both"/>
              <w:rPr>
                <w:rFonts w:ascii="Arial" w:hAnsi="Arial" w:cs="Arial"/>
                <w:b/>
                <w:color w:val="000000" w:themeColor="text1"/>
              </w:rPr>
            </w:pPr>
            <w:r w:rsidRPr="00EC4C97">
              <w:rPr>
                <w:rFonts w:ascii="Arial" w:eastAsia="Times New Roman" w:hAnsi="Arial" w:cs="Arial"/>
                <w:b/>
                <w:color w:val="000000" w:themeColor="text1"/>
                <w:lang w:val="en-GB" w:eastAsia="ar-SA"/>
              </w:rPr>
              <w:t>Only shortlisted Candidates will be contacted.</w:t>
            </w:r>
          </w:p>
        </w:tc>
      </w:tr>
      <w:tr w:rsidR="00B23602" w:rsidRPr="00EC4C97" w14:paraId="694710A2" w14:textId="77777777" w:rsidTr="00233EB2">
        <w:trPr>
          <w:trHeight w:hRule="exact" w:val="730"/>
        </w:trPr>
        <w:tc>
          <w:tcPr>
            <w:tcW w:w="620" w:type="dxa"/>
            <w:tcBorders>
              <w:top w:val="single" w:sz="4" w:space="0" w:color="auto"/>
              <w:bottom w:val="single" w:sz="4" w:space="0" w:color="auto"/>
            </w:tcBorders>
            <w:shd w:val="clear" w:color="auto" w:fill="F2F2F2"/>
          </w:tcPr>
          <w:p w14:paraId="6947109F" w14:textId="77777777" w:rsidR="00B23602" w:rsidRPr="00EC4C97" w:rsidRDefault="00B60DB0" w:rsidP="00556588">
            <w:pPr>
              <w:spacing w:line="240" w:lineRule="auto"/>
              <w:rPr>
                <w:rFonts w:ascii="Arial" w:hAnsi="Arial" w:cs="Arial"/>
                <w:color w:val="000000" w:themeColor="text1"/>
              </w:rPr>
            </w:pPr>
            <w:r w:rsidRPr="00EC4C97">
              <w:rPr>
                <w:rFonts w:ascii="Arial" w:hAnsi="Arial" w:cs="Arial"/>
                <w:color w:val="000000" w:themeColor="text1"/>
              </w:rPr>
              <w:t>12</w:t>
            </w:r>
          </w:p>
        </w:tc>
        <w:tc>
          <w:tcPr>
            <w:tcW w:w="3150" w:type="dxa"/>
            <w:tcBorders>
              <w:top w:val="single" w:sz="4" w:space="0" w:color="auto"/>
              <w:bottom w:val="single" w:sz="4" w:space="0" w:color="auto"/>
            </w:tcBorders>
            <w:shd w:val="clear" w:color="auto" w:fill="F2F2F2"/>
          </w:tcPr>
          <w:p w14:paraId="694710A0" w14:textId="77777777" w:rsidR="00B23602" w:rsidRPr="00EC4C97" w:rsidRDefault="00B60DB0" w:rsidP="00556588">
            <w:pPr>
              <w:spacing w:line="240" w:lineRule="auto"/>
              <w:rPr>
                <w:rFonts w:ascii="Arial" w:hAnsi="Arial" w:cs="Arial"/>
                <w:b/>
                <w:color w:val="000000" w:themeColor="text1"/>
              </w:rPr>
            </w:pPr>
            <w:r w:rsidRPr="00EC4C97">
              <w:rPr>
                <w:rFonts w:ascii="Arial" w:hAnsi="Arial" w:cs="Arial"/>
                <w:b/>
                <w:color w:val="000000" w:themeColor="text1"/>
              </w:rPr>
              <w:t>Closing date for Applications</w:t>
            </w:r>
          </w:p>
        </w:tc>
        <w:tc>
          <w:tcPr>
            <w:tcW w:w="6840" w:type="dxa"/>
            <w:gridSpan w:val="2"/>
            <w:tcBorders>
              <w:top w:val="single" w:sz="4" w:space="0" w:color="auto"/>
              <w:bottom w:val="single" w:sz="4" w:space="0" w:color="auto"/>
            </w:tcBorders>
          </w:tcPr>
          <w:p w14:paraId="694710A1" w14:textId="344C665B" w:rsidR="00B23602" w:rsidRPr="00EC4C97" w:rsidRDefault="00B60DB0" w:rsidP="00556588">
            <w:pPr>
              <w:spacing w:after="0" w:line="240" w:lineRule="auto"/>
              <w:jc w:val="both"/>
              <w:rPr>
                <w:rFonts w:ascii="Arial" w:hAnsi="Arial" w:cs="Arial"/>
                <w:b/>
                <w:color w:val="000000" w:themeColor="text1"/>
              </w:rPr>
            </w:pPr>
            <w:r w:rsidRPr="00EC4C97">
              <w:rPr>
                <w:rFonts w:ascii="Arial" w:hAnsi="Arial" w:cs="Arial"/>
                <w:bCs/>
                <w:color w:val="000000" w:themeColor="text1"/>
              </w:rPr>
              <w:t xml:space="preserve">Interested consultants shall submit their applications through the above procedures on or before </w:t>
            </w:r>
            <w:r w:rsidR="008668E6" w:rsidRPr="00EC4C97">
              <w:rPr>
                <w:rFonts w:ascii="Arial" w:hAnsi="Arial" w:cs="Arial"/>
                <w:b/>
                <w:color w:val="000000" w:themeColor="text1"/>
              </w:rPr>
              <w:t xml:space="preserve">Tuesday </w:t>
            </w:r>
            <w:r w:rsidR="001337DD">
              <w:rPr>
                <w:rFonts w:ascii="Arial" w:hAnsi="Arial" w:cs="Arial"/>
                <w:b/>
                <w:color w:val="000000" w:themeColor="text1"/>
              </w:rPr>
              <w:t>28</w:t>
            </w:r>
            <w:r w:rsidR="008668E6" w:rsidRPr="00EC4C97">
              <w:rPr>
                <w:rFonts w:ascii="Arial" w:hAnsi="Arial" w:cs="Arial"/>
                <w:b/>
                <w:color w:val="000000" w:themeColor="text1"/>
                <w:vertAlign w:val="superscript"/>
              </w:rPr>
              <w:t>th</w:t>
            </w:r>
            <w:r w:rsidR="008668E6" w:rsidRPr="00EC4C97">
              <w:rPr>
                <w:rFonts w:ascii="Arial" w:hAnsi="Arial" w:cs="Arial"/>
                <w:b/>
                <w:color w:val="000000" w:themeColor="text1"/>
              </w:rPr>
              <w:t xml:space="preserve"> May 2026</w:t>
            </w:r>
            <w:r w:rsidRPr="00EC4C97">
              <w:rPr>
                <w:rFonts w:ascii="Arial" w:hAnsi="Arial" w:cs="Arial"/>
                <w:b/>
                <w:color w:val="000000" w:themeColor="text1"/>
              </w:rPr>
              <w:t>.</w:t>
            </w:r>
            <w:r w:rsidRPr="00EC4C97">
              <w:rPr>
                <w:rFonts w:ascii="Arial" w:hAnsi="Arial" w:cs="Arial"/>
                <w:b/>
                <w:bCs/>
                <w:color w:val="000000" w:themeColor="text1"/>
              </w:rPr>
              <w:t xml:space="preserve"> </w:t>
            </w:r>
          </w:p>
        </w:tc>
      </w:tr>
    </w:tbl>
    <w:p w14:paraId="694710A5" w14:textId="77777777" w:rsidR="00B23602" w:rsidRPr="00556588" w:rsidRDefault="00B23602" w:rsidP="00556588">
      <w:pPr>
        <w:pStyle w:val="BodyText"/>
        <w:rPr>
          <w:rFonts w:ascii="Arial" w:hAnsi="Arial" w:cs="Arial"/>
          <w:b/>
        </w:rPr>
      </w:pPr>
    </w:p>
    <w:p w14:paraId="321028FA" w14:textId="77777777" w:rsidR="00401FAE" w:rsidRPr="00556588" w:rsidRDefault="00401FAE" w:rsidP="00556588">
      <w:pPr>
        <w:spacing w:after="0" w:line="240" w:lineRule="auto"/>
        <w:rPr>
          <w:rFonts w:ascii="Arial" w:hAnsi="Arial" w:cs="Arial"/>
          <w:b/>
          <w:sz w:val="24"/>
          <w:szCs w:val="24"/>
        </w:rPr>
      </w:pPr>
      <w:bookmarkStart w:id="1" w:name="_Toc167201522"/>
    </w:p>
    <w:tbl>
      <w:tblPr>
        <w:tblStyle w:val="TableGrid"/>
        <w:tblW w:w="10656" w:type="dxa"/>
        <w:jc w:val="center"/>
        <w:tblLook w:val="04A0" w:firstRow="1" w:lastRow="0" w:firstColumn="1" w:lastColumn="0" w:noHBand="0" w:noVBand="1"/>
      </w:tblPr>
      <w:tblGrid>
        <w:gridCol w:w="6070"/>
        <w:gridCol w:w="2011"/>
        <w:gridCol w:w="2575"/>
      </w:tblGrid>
      <w:tr w:rsidR="00401FAE" w:rsidRPr="00556588" w14:paraId="065F95C5" w14:textId="77777777" w:rsidTr="00401FAE">
        <w:trPr>
          <w:trHeight w:val="964"/>
          <w:jc w:val="center"/>
        </w:trPr>
        <w:tc>
          <w:tcPr>
            <w:tcW w:w="10656" w:type="dxa"/>
            <w:gridSpan w:val="3"/>
            <w:shd w:val="clear" w:color="auto" w:fill="FF0000"/>
            <w:vAlign w:val="center"/>
          </w:tcPr>
          <w:p w14:paraId="3100CA59" w14:textId="7F6DAE24" w:rsidR="00401FAE" w:rsidRPr="00556588" w:rsidRDefault="00401FAE" w:rsidP="00556588">
            <w:pPr>
              <w:spacing w:after="0" w:line="240" w:lineRule="auto"/>
              <w:jc w:val="both"/>
              <w:rPr>
                <w:rFonts w:ascii="Arial" w:hAnsi="Arial" w:cs="Arial"/>
                <w:b/>
                <w:sz w:val="24"/>
                <w:szCs w:val="24"/>
              </w:rPr>
            </w:pPr>
            <w:r w:rsidRPr="00556588">
              <w:rPr>
                <w:rFonts w:ascii="Arial" w:hAnsi="Arial" w:cs="Arial"/>
                <w:b/>
                <w:sz w:val="24"/>
                <w:szCs w:val="24"/>
              </w:rPr>
              <w:t xml:space="preserve">We, the Bidder, hereby confirm </w:t>
            </w:r>
            <w:r w:rsidR="004E17D7" w:rsidRPr="00556588">
              <w:rPr>
                <w:rFonts w:ascii="Arial" w:hAnsi="Arial" w:cs="Arial"/>
                <w:b/>
                <w:sz w:val="24"/>
                <w:szCs w:val="24"/>
              </w:rPr>
              <w:t xml:space="preserve">our </w:t>
            </w:r>
            <w:r w:rsidR="00556588" w:rsidRPr="00556588">
              <w:rPr>
                <w:rFonts w:ascii="Arial" w:hAnsi="Arial" w:cs="Arial"/>
                <w:b/>
                <w:sz w:val="24"/>
                <w:szCs w:val="24"/>
              </w:rPr>
              <w:t>compliance with</w:t>
            </w:r>
            <w:r w:rsidRPr="00556588">
              <w:rPr>
                <w:rFonts w:ascii="Arial" w:hAnsi="Arial" w:cs="Arial"/>
                <w:b/>
                <w:sz w:val="24"/>
                <w:szCs w:val="24"/>
              </w:rPr>
              <w:t xml:space="preserve"> the following policies and requirements:</w:t>
            </w:r>
          </w:p>
        </w:tc>
      </w:tr>
      <w:tr w:rsidR="00401FAE" w:rsidRPr="00556588" w14:paraId="01D2BA56" w14:textId="77777777" w:rsidTr="00401FAE">
        <w:trPr>
          <w:trHeight w:val="721"/>
          <w:jc w:val="center"/>
        </w:trPr>
        <w:tc>
          <w:tcPr>
            <w:tcW w:w="6070" w:type="dxa"/>
            <w:shd w:val="clear" w:color="auto" w:fill="D9D9D9" w:themeFill="background1" w:themeFillShade="D9"/>
            <w:vAlign w:val="center"/>
          </w:tcPr>
          <w:p w14:paraId="1C016D73" w14:textId="77777777" w:rsidR="00401FAE" w:rsidRPr="00556588" w:rsidRDefault="00401FAE" w:rsidP="00556588">
            <w:pPr>
              <w:spacing w:after="0" w:line="240" w:lineRule="auto"/>
              <w:jc w:val="both"/>
              <w:rPr>
                <w:rFonts w:ascii="Arial" w:hAnsi="Arial" w:cs="Arial"/>
                <w:b/>
                <w:sz w:val="24"/>
                <w:szCs w:val="24"/>
              </w:rPr>
            </w:pPr>
            <w:r w:rsidRPr="00556588">
              <w:rPr>
                <w:rFonts w:ascii="Arial" w:hAnsi="Arial" w:cs="Arial"/>
                <w:b/>
                <w:sz w:val="24"/>
                <w:szCs w:val="24"/>
              </w:rPr>
              <w:t>Policy</w:t>
            </w:r>
          </w:p>
        </w:tc>
        <w:tc>
          <w:tcPr>
            <w:tcW w:w="2011" w:type="dxa"/>
            <w:shd w:val="clear" w:color="auto" w:fill="D9D9D9" w:themeFill="background1" w:themeFillShade="D9"/>
            <w:vAlign w:val="center"/>
          </w:tcPr>
          <w:p w14:paraId="7DD0A82B" w14:textId="77777777" w:rsidR="00401FAE" w:rsidRPr="00556588" w:rsidRDefault="00401FAE" w:rsidP="00556588">
            <w:pPr>
              <w:spacing w:after="0" w:line="240" w:lineRule="auto"/>
              <w:jc w:val="both"/>
              <w:rPr>
                <w:rFonts w:ascii="Arial" w:hAnsi="Arial" w:cs="Arial"/>
                <w:b/>
                <w:sz w:val="24"/>
                <w:szCs w:val="24"/>
              </w:rPr>
            </w:pPr>
            <w:r w:rsidRPr="00556588">
              <w:rPr>
                <w:rFonts w:ascii="Arial" w:hAnsi="Arial" w:cs="Arial"/>
                <w:b/>
                <w:sz w:val="24"/>
                <w:szCs w:val="24"/>
              </w:rPr>
              <w:t>Policy / Document</w:t>
            </w:r>
          </w:p>
        </w:tc>
        <w:tc>
          <w:tcPr>
            <w:tcW w:w="2575" w:type="dxa"/>
            <w:shd w:val="clear" w:color="auto" w:fill="D9D9D9" w:themeFill="background1" w:themeFillShade="D9"/>
            <w:vAlign w:val="center"/>
          </w:tcPr>
          <w:p w14:paraId="48D08031" w14:textId="77777777" w:rsidR="00401FAE" w:rsidRPr="00556588" w:rsidRDefault="00401FAE" w:rsidP="00556588">
            <w:pPr>
              <w:spacing w:after="0" w:line="240" w:lineRule="auto"/>
              <w:jc w:val="both"/>
              <w:rPr>
                <w:rFonts w:ascii="Arial" w:hAnsi="Arial" w:cs="Arial"/>
                <w:b/>
                <w:sz w:val="24"/>
                <w:szCs w:val="24"/>
              </w:rPr>
            </w:pPr>
            <w:r w:rsidRPr="00556588">
              <w:rPr>
                <w:rFonts w:ascii="Arial" w:hAnsi="Arial" w:cs="Arial"/>
                <w:b/>
                <w:sz w:val="24"/>
                <w:szCs w:val="24"/>
              </w:rPr>
              <w:t>Signature</w:t>
            </w:r>
          </w:p>
        </w:tc>
      </w:tr>
      <w:tr w:rsidR="00401FAE" w:rsidRPr="00556588" w14:paraId="4DA404B4" w14:textId="77777777" w:rsidTr="00401FAE">
        <w:trPr>
          <w:trHeight w:val="982"/>
          <w:jc w:val="center"/>
        </w:trPr>
        <w:tc>
          <w:tcPr>
            <w:tcW w:w="6070" w:type="dxa"/>
            <w:vAlign w:val="center"/>
          </w:tcPr>
          <w:p w14:paraId="0C432340" w14:textId="77777777" w:rsidR="00401FAE" w:rsidRPr="00556588" w:rsidRDefault="00401FAE" w:rsidP="00556588">
            <w:pPr>
              <w:spacing w:after="0" w:line="240" w:lineRule="auto"/>
              <w:jc w:val="both"/>
              <w:rPr>
                <w:rFonts w:ascii="Arial" w:hAnsi="Arial" w:cs="Arial"/>
                <w:sz w:val="24"/>
                <w:szCs w:val="24"/>
              </w:rPr>
            </w:pPr>
            <w:r w:rsidRPr="00556588">
              <w:rPr>
                <w:rFonts w:ascii="Arial" w:hAnsi="Arial" w:cs="Arial"/>
                <w:sz w:val="24"/>
                <w:szCs w:val="24"/>
              </w:rPr>
              <w:t>Terms &amp; Conditions of Bidding</w:t>
            </w:r>
          </w:p>
        </w:tc>
        <w:tc>
          <w:tcPr>
            <w:tcW w:w="2011" w:type="dxa"/>
            <w:vAlign w:val="center"/>
          </w:tcPr>
          <w:p w14:paraId="06AC15F6" w14:textId="77777777" w:rsidR="00401FAE" w:rsidRPr="00556588" w:rsidRDefault="002D5DB8" w:rsidP="00556588">
            <w:pPr>
              <w:spacing w:after="0" w:line="240" w:lineRule="auto"/>
              <w:jc w:val="both"/>
              <w:rPr>
                <w:rFonts w:ascii="Arial" w:hAnsi="Arial" w:cs="Arial"/>
                <w:sz w:val="24"/>
                <w:szCs w:val="24"/>
              </w:rPr>
            </w:pPr>
            <w:r w:rsidRPr="00556588">
              <w:rPr>
                <w:rFonts w:ascii="Arial" w:hAnsi="Arial" w:cs="Arial"/>
                <w:i/>
                <w:noProof/>
                <w:sz w:val="24"/>
                <w:szCs w:val="24"/>
              </w:rPr>
              <w:object w:dxaOrig="1311" w:dyaOrig="819" w14:anchorId="1C56B709">
                <v:shape id="_x0000_i1026" type="#_x0000_t75" alt="" style="width:64.5pt;height:43.5pt;mso-width-percent:0;mso-height-percent:0;mso-width-percent:0;mso-height-percent:0" o:ole="">
                  <v:imagedata r:id="rId15" o:title=""/>
                </v:shape>
                <o:OLEObject Type="Embed" ProgID="Acrobat.Document.DC" ShapeID="_x0000_i1026" DrawAspect="Icon" ObjectID="_1839664999" r:id="rId16"/>
              </w:object>
            </w:r>
          </w:p>
        </w:tc>
        <w:tc>
          <w:tcPr>
            <w:tcW w:w="2575" w:type="dxa"/>
            <w:vMerge w:val="restart"/>
            <w:vAlign w:val="center"/>
          </w:tcPr>
          <w:p w14:paraId="12D34252" w14:textId="77777777" w:rsidR="00401FAE" w:rsidRPr="00556588" w:rsidRDefault="00401FAE" w:rsidP="00556588">
            <w:pPr>
              <w:tabs>
                <w:tab w:val="left" w:pos="426"/>
                <w:tab w:val="left" w:pos="993"/>
              </w:tabs>
              <w:spacing w:after="0" w:line="240" w:lineRule="auto"/>
              <w:ind w:left="349"/>
              <w:jc w:val="both"/>
              <w:rPr>
                <w:rFonts w:ascii="Arial" w:hAnsi="Arial" w:cs="Arial"/>
                <w:sz w:val="24"/>
                <w:szCs w:val="24"/>
              </w:rPr>
            </w:pPr>
          </w:p>
        </w:tc>
      </w:tr>
      <w:tr w:rsidR="00401FAE" w:rsidRPr="00556588" w14:paraId="7776CAF6" w14:textId="77777777" w:rsidTr="00401FAE">
        <w:trPr>
          <w:trHeight w:val="1117"/>
          <w:jc w:val="center"/>
        </w:trPr>
        <w:tc>
          <w:tcPr>
            <w:tcW w:w="6070" w:type="dxa"/>
            <w:vAlign w:val="center"/>
          </w:tcPr>
          <w:p w14:paraId="28555A30" w14:textId="77777777" w:rsidR="00401FAE" w:rsidRPr="00556588" w:rsidRDefault="00401FAE" w:rsidP="00556588">
            <w:pPr>
              <w:spacing w:after="0" w:line="240" w:lineRule="auto"/>
              <w:jc w:val="both"/>
              <w:rPr>
                <w:rFonts w:ascii="Arial" w:hAnsi="Arial" w:cs="Arial"/>
                <w:sz w:val="24"/>
                <w:szCs w:val="24"/>
              </w:rPr>
            </w:pPr>
            <w:r w:rsidRPr="00556588">
              <w:rPr>
                <w:rFonts w:ascii="Arial" w:hAnsi="Arial" w:cs="Arial"/>
                <w:sz w:val="24"/>
                <w:szCs w:val="24"/>
              </w:rPr>
              <w:t>Supplier Sustainability Policy</w:t>
            </w:r>
          </w:p>
          <w:p w14:paraId="6D71B362" w14:textId="77777777" w:rsidR="00401FAE" w:rsidRPr="00556588" w:rsidRDefault="00401FAE" w:rsidP="00556588">
            <w:pPr>
              <w:spacing w:after="0" w:line="240" w:lineRule="auto"/>
              <w:jc w:val="both"/>
              <w:rPr>
                <w:rFonts w:ascii="Arial" w:hAnsi="Arial" w:cs="Arial"/>
                <w:sz w:val="24"/>
                <w:szCs w:val="24"/>
              </w:rPr>
            </w:pPr>
            <w:r w:rsidRPr="00556588">
              <w:rPr>
                <w:rFonts w:ascii="Arial" w:hAnsi="Arial" w:cs="Arial"/>
                <w:sz w:val="24"/>
                <w:szCs w:val="24"/>
              </w:rPr>
              <w:t>and the included mandatory policies</w:t>
            </w:r>
          </w:p>
        </w:tc>
        <w:tc>
          <w:tcPr>
            <w:tcW w:w="2011" w:type="dxa"/>
            <w:vAlign w:val="center"/>
          </w:tcPr>
          <w:p w14:paraId="3DFBAF89" w14:textId="77777777" w:rsidR="00401FAE" w:rsidRPr="00556588" w:rsidRDefault="00401FAE" w:rsidP="00556588">
            <w:pPr>
              <w:spacing w:after="0" w:line="240" w:lineRule="auto"/>
              <w:jc w:val="both"/>
              <w:rPr>
                <w:rFonts w:ascii="Arial" w:hAnsi="Arial" w:cs="Arial"/>
                <w:sz w:val="24"/>
                <w:szCs w:val="24"/>
              </w:rPr>
            </w:pPr>
            <w:hyperlink r:id="rId17" w:history="1">
              <w:r w:rsidRPr="00556588">
                <w:rPr>
                  <w:rStyle w:val="Hyperlink"/>
                  <w:rFonts w:ascii="Arial" w:hAnsi="Arial" w:cs="Arial"/>
                  <w:sz w:val="24"/>
                  <w:szCs w:val="24"/>
                </w:rPr>
                <w:t xml:space="preserve">Click Here </w:t>
              </w:r>
              <w:proofErr w:type="gramStart"/>
              <w:r w:rsidRPr="00556588">
                <w:rPr>
                  <w:rStyle w:val="Hyperlink"/>
                  <w:rFonts w:ascii="Arial" w:hAnsi="Arial" w:cs="Arial"/>
                  <w:sz w:val="24"/>
                  <w:szCs w:val="24"/>
                </w:rPr>
                <w:t>To</w:t>
              </w:r>
              <w:proofErr w:type="gramEnd"/>
              <w:r w:rsidRPr="00556588">
                <w:rPr>
                  <w:rStyle w:val="Hyperlink"/>
                  <w:rFonts w:ascii="Arial" w:hAnsi="Arial" w:cs="Arial"/>
                  <w:sz w:val="24"/>
                  <w:szCs w:val="24"/>
                </w:rPr>
                <w:t xml:space="preserve"> Access</w:t>
              </w:r>
            </w:hyperlink>
          </w:p>
        </w:tc>
        <w:tc>
          <w:tcPr>
            <w:tcW w:w="2575" w:type="dxa"/>
            <w:vMerge/>
            <w:vAlign w:val="center"/>
          </w:tcPr>
          <w:p w14:paraId="7B89FB33" w14:textId="77777777" w:rsidR="00401FAE" w:rsidRPr="00556588" w:rsidRDefault="00401FAE" w:rsidP="00556588">
            <w:pPr>
              <w:spacing w:after="0" w:line="240" w:lineRule="auto"/>
              <w:jc w:val="both"/>
              <w:rPr>
                <w:rFonts w:ascii="Arial" w:hAnsi="Arial" w:cs="Arial"/>
                <w:sz w:val="24"/>
                <w:szCs w:val="24"/>
              </w:rPr>
            </w:pPr>
          </w:p>
        </w:tc>
      </w:tr>
    </w:tbl>
    <w:p w14:paraId="23552DE3"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p>
    <w:tbl>
      <w:tblPr>
        <w:tblStyle w:val="TableGrid"/>
        <w:tblW w:w="105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8525"/>
      </w:tblGrid>
      <w:tr w:rsidR="00401FAE" w:rsidRPr="00556588" w14:paraId="12EBFBF6" w14:textId="77777777" w:rsidTr="00321D78">
        <w:trPr>
          <w:trHeight w:val="752"/>
          <w:jc w:val="center"/>
        </w:trPr>
        <w:tc>
          <w:tcPr>
            <w:tcW w:w="10533" w:type="dxa"/>
            <w:gridSpan w:val="2"/>
          </w:tcPr>
          <w:p w14:paraId="15CE344F" w14:textId="77777777" w:rsidR="00401FAE" w:rsidRPr="00556588" w:rsidRDefault="00401FAE" w:rsidP="00556588">
            <w:pPr>
              <w:pStyle w:val="paragraph"/>
              <w:spacing w:before="0" w:beforeAutospacing="0" w:after="0" w:afterAutospacing="0"/>
              <w:jc w:val="center"/>
              <w:textAlignment w:val="baseline"/>
              <w:rPr>
                <w:rStyle w:val="normaltextrun"/>
                <w:rFonts w:ascii="Arial" w:hAnsi="Arial" w:cs="Arial"/>
              </w:rPr>
            </w:pPr>
          </w:p>
          <w:p w14:paraId="22B9822F" w14:textId="77777777" w:rsidR="00401FAE" w:rsidRPr="00556588" w:rsidRDefault="00401FAE" w:rsidP="00556588">
            <w:pPr>
              <w:pStyle w:val="paragraph"/>
              <w:spacing w:before="0" w:beforeAutospacing="0" w:after="0" w:afterAutospacing="0"/>
              <w:jc w:val="both"/>
              <w:textAlignment w:val="baseline"/>
              <w:rPr>
                <w:rStyle w:val="normaltextrun"/>
                <w:rFonts w:ascii="Arial" w:hAnsi="Arial" w:cs="Arial"/>
              </w:rPr>
            </w:pPr>
          </w:p>
          <w:p w14:paraId="41C4037D" w14:textId="77777777" w:rsidR="00401FAE" w:rsidRPr="00556588" w:rsidRDefault="00401FAE" w:rsidP="00556588">
            <w:pPr>
              <w:pStyle w:val="paragraph"/>
              <w:spacing w:before="0" w:beforeAutospacing="0" w:after="0" w:afterAutospacing="0"/>
              <w:jc w:val="both"/>
              <w:textAlignment w:val="baseline"/>
              <w:rPr>
                <w:rStyle w:val="normaltextrun"/>
                <w:rFonts w:ascii="Arial" w:hAnsi="Arial" w:cs="Arial"/>
              </w:rPr>
            </w:pPr>
          </w:p>
          <w:p w14:paraId="17C6B804" w14:textId="77777777" w:rsidR="00401FAE" w:rsidRPr="00556588" w:rsidRDefault="00401FAE" w:rsidP="00556588">
            <w:pPr>
              <w:pStyle w:val="paragraph"/>
              <w:spacing w:before="0" w:beforeAutospacing="0" w:after="0" w:afterAutospacing="0"/>
              <w:jc w:val="both"/>
              <w:textAlignment w:val="baseline"/>
              <w:rPr>
                <w:rStyle w:val="eop"/>
                <w:rFonts w:ascii="Arial" w:hAnsi="Arial" w:cs="Arial"/>
              </w:rPr>
            </w:pPr>
            <w:r w:rsidRPr="00556588">
              <w:rPr>
                <w:rStyle w:val="normaltextrun"/>
                <w:rFonts w:ascii="Arial" w:hAnsi="Arial" w:cs="Arial"/>
              </w:rPr>
              <w:t>We confirm that Save the Children may in its consideration of our offer, and subsequently, rely on the statements made herein.</w:t>
            </w:r>
            <w:r w:rsidRPr="00556588">
              <w:rPr>
                <w:rStyle w:val="eop"/>
                <w:rFonts w:ascii="Arial" w:hAnsi="Arial" w:cs="Arial"/>
              </w:rPr>
              <w:t> </w:t>
            </w:r>
          </w:p>
          <w:p w14:paraId="3D8E309E" w14:textId="77777777" w:rsidR="00401FAE" w:rsidRPr="00556588" w:rsidRDefault="00401FAE" w:rsidP="00556588">
            <w:pPr>
              <w:pStyle w:val="paragraph"/>
              <w:spacing w:before="0" w:beforeAutospacing="0" w:after="0" w:afterAutospacing="0"/>
              <w:jc w:val="both"/>
              <w:textAlignment w:val="baseline"/>
              <w:rPr>
                <w:rStyle w:val="scxw63843710"/>
                <w:rFonts w:ascii="Arial" w:hAnsi="Arial" w:cs="Arial"/>
              </w:rPr>
            </w:pPr>
          </w:p>
        </w:tc>
      </w:tr>
      <w:tr w:rsidR="00401FAE" w:rsidRPr="00556588" w14:paraId="00FF7493" w14:textId="77777777" w:rsidTr="00321D78">
        <w:trPr>
          <w:trHeight w:val="627"/>
          <w:jc w:val="center"/>
        </w:trPr>
        <w:tc>
          <w:tcPr>
            <w:tcW w:w="2008" w:type="dxa"/>
          </w:tcPr>
          <w:p w14:paraId="022DC8B0"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Signature:</w:t>
            </w:r>
          </w:p>
        </w:tc>
        <w:tc>
          <w:tcPr>
            <w:tcW w:w="8524" w:type="dxa"/>
          </w:tcPr>
          <w:p w14:paraId="3178C3E2"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w:t>
            </w:r>
          </w:p>
        </w:tc>
      </w:tr>
      <w:tr w:rsidR="00401FAE" w:rsidRPr="00556588" w14:paraId="54FD0ED4" w14:textId="77777777" w:rsidTr="00321D78">
        <w:trPr>
          <w:trHeight w:val="670"/>
          <w:jc w:val="center"/>
        </w:trPr>
        <w:tc>
          <w:tcPr>
            <w:tcW w:w="2008" w:type="dxa"/>
          </w:tcPr>
          <w:p w14:paraId="6327C9BF"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Name:</w:t>
            </w:r>
          </w:p>
        </w:tc>
        <w:tc>
          <w:tcPr>
            <w:tcW w:w="8524" w:type="dxa"/>
          </w:tcPr>
          <w:p w14:paraId="087393E3"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w:t>
            </w:r>
          </w:p>
        </w:tc>
      </w:tr>
      <w:tr w:rsidR="00401FAE" w:rsidRPr="00556588" w14:paraId="46D6C2B6" w14:textId="77777777" w:rsidTr="00321D78">
        <w:trPr>
          <w:trHeight w:val="697"/>
          <w:jc w:val="center"/>
        </w:trPr>
        <w:tc>
          <w:tcPr>
            <w:tcW w:w="2008" w:type="dxa"/>
          </w:tcPr>
          <w:p w14:paraId="0B2ED108"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Title:</w:t>
            </w:r>
          </w:p>
        </w:tc>
        <w:tc>
          <w:tcPr>
            <w:tcW w:w="8524" w:type="dxa"/>
          </w:tcPr>
          <w:p w14:paraId="1E15D69B"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w:t>
            </w:r>
          </w:p>
        </w:tc>
      </w:tr>
      <w:tr w:rsidR="00401FAE" w:rsidRPr="00556588" w14:paraId="62767C92" w14:textId="77777777" w:rsidTr="00321D78">
        <w:trPr>
          <w:trHeight w:val="674"/>
          <w:jc w:val="center"/>
        </w:trPr>
        <w:tc>
          <w:tcPr>
            <w:tcW w:w="2008" w:type="dxa"/>
          </w:tcPr>
          <w:p w14:paraId="37F8A81E"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Company:</w:t>
            </w:r>
          </w:p>
        </w:tc>
        <w:tc>
          <w:tcPr>
            <w:tcW w:w="8524" w:type="dxa"/>
          </w:tcPr>
          <w:p w14:paraId="5956653B"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w:t>
            </w:r>
          </w:p>
        </w:tc>
      </w:tr>
      <w:tr w:rsidR="00401FAE" w:rsidRPr="00556588" w14:paraId="0C97CE24" w14:textId="77777777" w:rsidTr="00321D78">
        <w:trPr>
          <w:trHeight w:val="666"/>
          <w:jc w:val="center"/>
        </w:trPr>
        <w:tc>
          <w:tcPr>
            <w:tcW w:w="2008" w:type="dxa"/>
          </w:tcPr>
          <w:p w14:paraId="7695DBB5"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Date:</w:t>
            </w:r>
          </w:p>
        </w:tc>
        <w:tc>
          <w:tcPr>
            <w:tcW w:w="8524" w:type="dxa"/>
          </w:tcPr>
          <w:p w14:paraId="6E1A9374" w14:textId="77777777" w:rsidR="00401FAE" w:rsidRPr="00556588" w:rsidRDefault="00401FAE" w:rsidP="00556588">
            <w:pPr>
              <w:pStyle w:val="paragraph"/>
              <w:spacing w:before="0" w:beforeAutospacing="0" w:after="0" w:afterAutospacing="0"/>
              <w:ind w:right="45"/>
              <w:jc w:val="both"/>
              <w:textAlignment w:val="baseline"/>
              <w:rPr>
                <w:rStyle w:val="scxw63843710"/>
                <w:rFonts w:ascii="Arial" w:hAnsi="Arial" w:cs="Arial"/>
              </w:rPr>
            </w:pPr>
            <w:r w:rsidRPr="00556588">
              <w:rPr>
                <w:rStyle w:val="scxw63843710"/>
                <w:rFonts w:ascii="Arial" w:hAnsi="Arial" w:cs="Arial"/>
              </w:rPr>
              <w:t>…………………………………………………..</w:t>
            </w:r>
          </w:p>
        </w:tc>
      </w:tr>
    </w:tbl>
    <w:p w14:paraId="36CBFE71" w14:textId="77777777" w:rsidR="00401FAE" w:rsidRPr="00556588" w:rsidRDefault="00401FAE" w:rsidP="00556588">
      <w:pPr>
        <w:spacing w:line="240" w:lineRule="auto"/>
        <w:jc w:val="both"/>
        <w:rPr>
          <w:rFonts w:ascii="Arial" w:hAnsi="Arial" w:cs="Arial"/>
          <w:b/>
          <w:bCs/>
          <w:sz w:val="24"/>
          <w:szCs w:val="24"/>
        </w:rPr>
      </w:pPr>
    </w:p>
    <w:p w14:paraId="4AECF3D7" w14:textId="77777777" w:rsidR="00401FAE" w:rsidRPr="00556588" w:rsidRDefault="00401FAE" w:rsidP="00556588">
      <w:pPr>
        <w:spacing w:line="240" w:lineRule="auto"/>
        <w:jc w:val="both"/>
        <w:rPr>
          <w:rFonts w:ascii="Arial" w:hAnsi="Arial" w:cs="Arial"/>
          <w:b/>
          <w:bCs/>
          <w:sz w:val="24"/>
          <w:szCs w:val="24"/>
        </w:rPr>
      </w:pPr>
    </w:p>
    <w:p w14:paraId="7F53612F" w14:textId="77777777" w:rsidR="00401FAE" w:rsidRPr="00556588" w:rsidRDefault="00401FAE" w:rsidP="00556588">
      <w:pPr>
        <w:spacing w:line="240" w:lineRule="auto"/>
        <w:jc w:val="both"/>
        <w:rPr>
          <w:rFonts w:ascii="Arial" w:hAnsi="Arial" w:cs="Arial"/>
          <w:b/>
          <w:bCs/>
          <w:sz w:val="24"/>
          <w:szCs w:val="24"/>
        </w:rPr>
      </w:pPr>
    </w:p>
    <w:p w14:paraId="3CC43F5C" w14:textId="77777777" w:rsidR="00401FAE" w:rsidRPr="00556588" w:rsidRDefault="00401FAE" w:rsidP="00556588">
      <w:pPr>
        <w:spacing w:line="240" w:lineRule="auto"/>
        <w:jc w:val="both"/>
        <w:rPr>
          <w:rFonts w:ascii="Arial" w:hAnsi="Arial" w:cs="Arial"/>
          <w:b/>
          <w:bCs/>
          <w:sz w:val="24"/>
          <w:szCs w:val="24"/>
        </w:rPr>
      </w:pPr>
    </w:p>
    <w:p w14:paraId="4FBF8CDB" w14:textId="77777777" w:rsidR="00401FAE" w:rsidRPr="00556588" w:rsidRDefault="00401FAE" w:rsidP="00556588">
      <w:pPr>
        <w:spacing w:line="240" w:lineRule="auto"/>
        <w:jc w:val="both"/>
        <w:rPr>
          <w:rFonts w:ascii="Arial" w:hAnsi="Arial" w:cs="Arial"/>
          <w:b/>
          <w:bCs/>
          <w:sz w:val="24"/>
          <w:szCs w:val="24"/>
        </w:rPr>
      </w:pPr>
    </w:p>
    <w:p w14:paraId="028B7EA3" w14:textId="77777777" w:rsidR="00401FAE" w:rsidRPr="00556588" w:rsidRDefault="00401FAE" w:rsidP="00556588">
      <w:pPr>
        <w:spacing w:line="240" w:lineRule="auto"/>
        <w:jc w:val="both"/>
        <w:rPr>
          <w:rFonts w:ascii="Arial" w:hAnsi="Arial" w:cs="Arial"/>
          <w:b/>
          <w:bCs/>
          <w:sz w:val="24"/>
          <w:szCs w:val="24"/>
        </w:rPr>
      </w:pPr>
    </w:p>
    <w:p w14:paraId="7B698298" w14:textId="77777777" w:rsidR="00D6070A" w:rsidRPr="00556588" w:rsidRDefault="00D6070A" w:rsidP="00556588">
      <w:pPr>
        <w:spacing w:line="240" w:lineRule="auto"/>
        <w:rPr>
          <w:rFonts w:ascii="Arial" w:hAnsi="Arial" w:cs="Arial"/>
          <w:b/>
          <w:bCs/>
          <w:color w:val="1A3A6B"/>
          <w:sz w:val="32"/>
          <w:szCs w:val="32"/>
        </w:rPr>
      </w:pPr>
    </w:p>
    <w:p w14:paraId="6C3082DA" w14:textId="77777777" w:rsidR="00615EE8" w:rsidRPr="00556588" w:rsidRDefault="00615EE8" w:rsidP="00556588">
      <w:pPr>
        <w:spacing w:line="240" w:lineRule="auto"/>
        <w:rPr>
          <w:rFonts w:ascii="Arial" w:hAnsi="Arial" w:cs="Arial"/>
          <w:b/>
          <w:bCs/>
          <w:color w:val="1A3A6B"/>
          <w:sz w:val="32"/>
          <w:szCs w:val="32"/>
        </w:rPr>
      </w:pPr>
    </w:p>
    <w:p w14:paraId="00FD390D" w14:textId="77777777" w:rsidR="00615EE8" w:rsidRPr="00556588" w:rsidRDefault="00615EE8" w:rsidP="00556588">
      <w:pPr>
        <w:spacing w:line="240" w:lineRule="auto"/>
        <w:rPr>
          <w:rFonts w:ascii="Arial" w:hAnsi="Arial" w:cs="Arial"/>
          <w:b/>
          <w:bCs/>
          <w:color w:val="1A3A6B"/>
          <w:sz w:val="32"/>
          <w:szCs w:val="32"/>
        </w:rPr>
      </w:pPr>
    </w:p>
    <w:p w14:paraId="19C3FB0E" w14:textId="77777777" w:rsidR="00D6070A" w:rsidRPr="00556588" w:rsidRDefault="00D6070A" w:rsidP="00556588">
      <w:pPr>
        <w:spacing w:after="0" w:line="240" w:lineRule="auto"/>
        <w:jc w:val="center"/>
        <w:rPr>
          <w:rFonts w:ascii="Arial" w:hAnsi="Arial" w:cs="Arial"/>
          <w:sz w:val="44"/>
          <w:szCs w:val="44"/>
        </w:rPr>
      </w:pPr>
      <w:r w:rsidRPr="00556588">
        <w:rPr>
          <w:rFonts w:ascii="Arial" w:hAnsi="Arial" w:cs="Arial"/>
          <w:b/>
          <w:bCs/>
          <w:color w:val="1A3A6B"/>
          <w:sz w:val="44"/>
          <w:szCs w:val="44"/>
        </w:rPr>
        <w:t>FEDERAL GOVERNMENT OF SOMALIA</w:t>
      </w:r>
    </w:p>
    <w:p w14:paraId="0E83090D" w14:textId="77777777" w:rsidR="00D6070A" w:rsidRPr="00556588" w:rsidRDefault="00D6070A" w:rsidP="00556588">
      <w:pPr>
        <w:spacing w:after="0" w:line="240" w:lineRule="auto"/>
        <w:jc w:val="center"/>
        <w:rPr>
          <w:rFonts w:ascii="Arial" w:hAnsi="Arial" w:cs="Arial"/>
          <w:sz w:val="32"/>
          <w:szCs w:val="32"/>
        </w:rPr>
      </w:pPr>
      <w:r w:rsidRPr="00556588">
        <w:rPr>
          <w:rFonts w:ascii="Arial" w:hAnsi="Arial" w:cs="Arial"/>
          <w:i/>
          <w:iCs/>
          <w:color w:val="2E5F9E"/>
          <w:sz w:val="32"/>
          <w:szCs w:val="32"/>
        </w:rPr>
        <w:t>Ministry of Education, Culture and Higher Education (MOECHE)</w:t>
      </w:r>
    </w:p>
    <w:p w14:paraId="53FEFDB4" w14:textId="77777777" w:rsidR="00D6070A" w:rsidRPr="00556588" w:rsidRDefault="00D6070A" w:rsidP="00556588">
      <w:pPr>
        <w:pBdr>
          <w:bottom w:val="single" w:sz="12" w:space="0" w:color="4B87CD"/>
        </w:pBdr>
        <w:spacing w:after="0" w:line="240" w:lineRule="auto"/>
        <w:rPr>
          <w:rFonts w:ascii="Arial" w:hAnsi="Arial" w:cs="Arial"/>
          <w:sz w:val="24"/>
          <w:szCs w:val="24"/>
        </w:rPr>
      </w:pPr>
    </w:p>
    <w:p w14:paraId="7857D541" w14:textId="77777777" w:rsidR="00D6070A" w:rsidRPr="00556588" w:rsidRDefault="00D6070A" w:rsidP="00556588">
      <w:pPr>
        <w:spacing w:after="0" w:line="240" w:lineRule="auto"/>
        <w:rPr>
          <w:rFonts w:ascii="Arial" w:hAnsi="Arial" w:cs="Arial"/>
          <w:sz w:val="24"/>
          <w:szCs w:val="24"/>
        </w:rPr>
      </w:pPr>
    </w:p>
    <w:p w14:paraId="5C9D09E9" w14:textId="77777777" w:rsidR="00D6070A" w:rsidRPr="00556588" w:rsidRDefault="00D6070A" w:rsidP="00556588">
      <w:pPr>
        <w:spacing w:after="0" w:line="240" w:lineRule="auto"/>
        <w:jc w:val="center"/>
        <w:rPr>
          <w:rFonts w:ascii="Arial" w:hAnsi="Arial" w:cs="Arial"/>
          <w:b/>
          <w:bCs/>
          <w:color w:val="1A3A6B"/>
          <w:sz w:val="40"/>
          <w:szCs w:val="40"/>
        </w:rPr>
      </w:pPr>
      <w:r w:rsidRPr="00556588">
        <w:rPr>
          <w:rFonts w:ascii="Arial" w:hAnsi="Arial" w:cs="Arial"/>
          <w:b/>
          <w:bCs/>
          <w:color w:val="1A3A6B"/>
          <w:sz w:val="40"/>
          <w:szCs w:val="40"/>
        </w:rPr>
        <w:t>TERMS OF REFERENCE (</w:t>
      </w:r>
      <w:proofErr w:type="spellStart"/>
      <w:r w:rsidRPr="00556588">
        <w:rPr>
          <w:rFonts w:ascii="Arial" w:hAnsi="Arial" w:cs="Arial"/>
          <w:b/>
          <w:bCs/>
          <w:color w:val="1A3A6B"/>
          <w:sz w:val="40"/>
          <w:szCs w:val="40"/>
        </w:rPr>
        <w:t>ToR</w:t>
      </w:r>
      <w:proofErr w:type="spellEnd"/>
      <w:r w:rsidRPr="00556588">
        <w:rPr>
          <w:rFonts w:ascii="Arial" w:hAnsi="Arial" w:cs="Arial"/>
          <w:b/>
          <w:bCs/>
          <w:color w:val="1A3A6B"/>
          <w:sz w:val="40"/>
          <w:szCs w:val="40"/>
        </w:rPr>
        <w:t>)</w:t>
      </w:r>
    </w:p>
    <w:p w14:paraId="6DFF59A0" w14:textId="77777777" w:rsidR="00D53743" w:rsidRPr="00556588" w:rsidRDefault="00D53743" w:rsidP="00556588">
      <w:pPr>
        <w:spacing w:after="0" w:line="240" w:lineRule="auto"/>
        <w:jc w:val="center"/>
        <w:rPr>
          <w:rFonts w:ascii="Arial" w:hAnsi="Arial" w:cs="Arial"/>
          <w:sz w:val="40"/>
          <w:szCs w:val="40"/>
        </w:rPr>
      </w:pPr>
    </w:p>
    <w:p w14:paraId="0F920DAF" w14:textId="77777777" w:rsidR="00D6070A" w:rsidRPr="00556588" w:rsidRDefault="00D6070A" w:rsidP="00556588">
      <w:pPr>
        <w:spacing w:after="0" w:line="240" w:lineRule="auto"/>
        <w:jc w:val="center"/>
        <w:rPr>
          <w:rFonts w:ascii="Arial" w:hAnsi="Arial" w:cs="Arial"/>
          <w:b/>
          <w:bCs/>
          <w:color w:val="2E5F9E"/>
          <w:sz w:val="40"/>
          <w:szCs w:val="40"/>
        </w:rPr>
      </w:pPr>
      <w:r w:rsidRPr="00556588">
        <w:rPr>
          <w:rFonts w:ascii="Arial" w:hAnsi="Arial" w:cs="Arial"/>
          <w:b/>
          <w:bCs/>
          <w:color w:val="2E5F9E"/>
          <w:sz w:val="40"/>
          <w:szCs w:val="40"/>
        </w:rPr>
        <w:t xml:space="preserve">FOR </w:t>
      </w:r>
      <w:proofErr w:type="gramStart"/>
      <w:r w:rsidRPr="00556588">
        <w:rPr>
          <w:rFonts w:ascii="Arial" w:hAnsi="Arial" w:cs="Arial"/>
          <w:b/>
          <w:bCs/>
          <w:color w:val="2E5F9E"/>
          <w:sz w:val="40"/>
          <w:szCs w:val="40"/>
        </w:rPr>
        <w:t>A RESEARCH</w:t>
      </w:r>
      <w:proofErr w:type="gramEnd"/>
      <w:r w:rsidRPr="00556588">
        <w:rPr>
          <w:rFonts w:ascii="Arial" w:hAnsi="Arial" w:cs="Arial"/>
          <w:b/>
          <w:bCs/>
          <w:color w:val="2E5F9E"/>
          <w:sz w:val="40"/>
          <w:szCs w:val="40"/>
        </w:rPr>
        <w:t xml:space="preserve"> CONSULTANT</w:t>
      </w:r>
    </w:p>
    <w:p w14:paraId="7123A479" w14:textId="77777777" w:rsidR="00D6070A" w:rsidRPr="00556588" w:rsidRDefault="00D6070A" w:rsidP="00556588">
      <w:pPr>
        <w:spacing w:after="0" w:line="240" w:lineRule="auto"/>
        <w:jc w:val="center"/>
        <w:rPr>
          <w:rFonts w:ascii="Arial" w:hAnsi="Arial" w:cs="Arial"/>
          <w:sz w:val="24"/>
          <w:szCs w:val="24"/>
        </w:rPr>
      </w:pPr>
    </w:p>
    <w:p w14:paraId="7F69B51B" w14:textId="77777777" w:rsidR="00D6070A" w:rsidRPr="00556588" w:rsidRDefault="00D6070A" w:rsidP="00556588">
      <w:pPr>
        <w:spacing w:after="0" w:line="240" w:lineRule="auto"/>
        <w:rPr>
          <w:rFonts w:ascii="Arial" w:hAnsi="Arial" w:cs="Arial"/>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65"/>
      </w:tblGrid>
      <w:tr w:rsidR="00D6070A" w:rsidRPr="00556588" w14:paraId="3975B953" w14:textId="77777777" w:rsidTr="00FF4A8C">
        <w:tc>
          <w:tcPr>
            <w:tcW w:w="10165" w:type="dxa"/>
            <w:shd w:val="clear" w:color="auto" w:fill="1A3A6B"/>
            <w:tcMar>
              <w:top w:w="200" w:type="dxa"/>
              <w:left w:w="300" w:type="dxa"/>
              <w:bottom w:w="200" w:type="dxa"/>
              <w:right w:w="300" w:type="dxa"/>
            </w:tcMar>
          </w:tcPr>
          <w:p w14:paraId="1555D674" w14:textId="77777777" w:rsidR="00D6070A" w:rsidRPr="00556588" w:rsidRDefault="00D6070A" w:rsidP="00556588">
            <w:pPr>
              <w:spacing w:after="0" w:line="240" w:lineRule="auto"/>
              <w:jc w:val="center"/>
              <w:rPr>
                <w:rFonts w:ascii="Arial" w:hAnsi="Arial" w:cs="Arial"/>
                <w:b/>
                <w:bCs/>
                <w:color w:val="FFFFFF"/>
                <w:sz w:val="28"/>
                <w:szCs w:val="28"/>
              </w:rPr>
            </w:pPr>
            <w:r w:rsidRPr="00556588">
              <w:rPr>
                <w:rFonts w:ascii="Arial" w:hAnsi="Arial" w:cs="Arial"/>
                <w:b/>
                <w:bCs/>
                <w:color w:val="FFFFFF"/>
                <w:sz w:val="28"/>
                <w:szCs w:val="28"/>
              </w:rPr>
              <w:t>Research Study:</w:t>
            </w:r>
          </w:p>
          <w:p w14:paraId="3DCA9BC8" w14:textId="77777777" w:rsidR="00D53743" w:rsidRPr="00556588" w:rsidRDefault="00D53743" w:rsidP="00556588">
            <w:pPr>
              <w:spacing w:after="0" w:line="240" w:lineRule="auto"/>
              <w:jc w:val="center"/>
              <w:rPr>
                <w:rFonts w:ascii="Arial" w:hAnsi="Arial" w:cs="Arial"/>
                <w:sz w:val="28"/>
                <w:szCs w:val="28"/>
              </w:rPr>
            </w:pPr>
          </w:p>
          <w:p w14:paraId="1910ED8B" w14:textId="73F8E186" w:rsidR="00D6070A" w:rsidRPr="00556588" w:rsidRDefault="00E80C35" w:rsidP="00556588">
            <w:pPr>
              <w:spacing w:after="0" w:line="240" w:lineRule="auto"/>
              <w:jc w:val="center"/>
              <w:rPr>
                <w:rFonts w:ascii="Arial" w:hAnsi="Arial" w:cs="Arial"/>
                <w:sz w:val="24"/>
                <w:szCs w:val="24"/>
              </w:rPr>
            </w:pPr>
            <w:r w:rsidRPr="00556588">
              <w:rPr>
                <w:b/>
                <w:bCs/>
                <w:color w:val="FFFFFF"/>
                <w:sz w:val="28"/>
                <w:szCs w:val="28"/>
              </w:rPr>
              <w:t>The Impact of Mother Tongue (Somali) Instruction on Academic Performance in Primary and Secondary Education in Somalia</w:t>
            </w:r>
          </w:p>
        </w:tc>
      </w:tr>
    </w:tbl>
    <w:p w14:paraId="74537818" w14:textId="77777777" w:rsidR="00D6070A" w:rsidRPr="00556588" w:rsidRDefault="00D6070A" w:rsidP="00556588">
      <w:pPr>
        <w:spacing w:after="0" w:line="240" w:lineRule="auto"/>
        <w:rPr>
          <w:rFonts w:ascii="Arial" w:hAnsi="Arial" w:cs="Arial"/>
          <w:sz w:val="24"/>
          <w:szCs w:val="24"/>
        </w:rPr>
      </w:pPr>
    </w:p>
    <w:p w14:paraId="413333D8" w14:textId="77777777" w:rsidR="00D6070A" w:rsidRPr="00556588" w:rsidRDefault="00D6070A" w:rsidP="00556588">
      <w:pPr>
        <w:spacing w:after="0" w:line="240" w:lineRule="auto"/>
        <w:jc w:val="center"/>
        <w:rPr>
          <w:rFonts w:ascii="Arial" w:hAnsi="Arial" w:cs="Arial"/>
          <w:color w:val="555555"/>
          <w:sz w:val="28"/>
          <w:szCs w:val="28"/>
        </w:rPr>
      </w:pPr>
      <w:r w:rsidRPr="00556588">
        <w:rPr>
          <w:rFonts w:ascii="Arial" w:hAnsi="Arial" w:cs="Arial"/>
          <w:color w:val="555555"/>
          <w:sz w:val="28"/>
          <w:szCs w:val="28"/>
        </w:rPr>
        <w:t>Commissioned by:</w:t>
      </w:r>
    </w:p>
    <w:p w14:paraId="2FA5A770" w14:textId="77777777" w:rsidR="00FF4A8C" w:rsidRPr="00556588" w:rsidRDefault="00FF4A8C" w:rsidP="00556588">
      <w:pPr>
        <w:spacing w:after="0" w:line="240" w:lineRule="auto"/>
        <w:jc w:val="center"/>
        <w:rPr>
          <w:rFonts w:ascii="Arial" w:hAnsi="Arial" w:cs="Arial"/>
          <w:sz w:val="28"/>
          <w:szCs w:val="28"/>
        </w:rPr>
      </w:pPr>
    </w:p>
    <w:p w14:paraId="6458BA83" w14:textId="77777777" w:rsidR="00D6070A" w:rsidRPr="00556588" w:rsidRDefault="00D6070A" w:rsidP="00556588">
      <w:pPr>
        <w:spacing w:after="0" w:line="240" w:lineRule="auto"/>
        <w:jc w:val="center"/>
        <w:rPr>
          <w:rFonts w:ascii="Arial" w:hAnsi="Arial" w:cs="Arial"/>
          <w:sz w:val="28"/>
          <w:szCs w:val="28"/>
        </w:rPr>
      </w:pPr>
      <w:r w:rsidRPr="00556588">
        <w:rPr>
          <w:rFonts w:ascii="Arial" w:hAnsi="Arial" w:cs="Arial"/>
          <w:b/>
          <w:bCs/>
          <w:color w:val="1A3A6B"/>
          <w:sz w:val="28"/>
          <w:szCs w:val="28"/>
        </w:rPr>
        <w:t>Ministry of Education, Culture and Higher Education (MOECHE)</w:t>
      </w:r>
    </w:p>
    <w:p w14:paraId="3AF813A6" w14:textId="77777777" w:rsidR="00D6070A" w:rsidRPr="00556588" w:rsidRDefault="00D6070A" w:rsidP="00556588">
      <w:pPr>
        <w:spacing w:after="0" w:line="240" w:lineRule="auto"/>
        <w:jc w:val="center"/>
        <w:rPr>
          <w:rFonts w:ascii="Arial" w:hAnsi="Arial" w:cs="Arial"/>
          <w:sz w:val="28"/>
          <w:szCs w:val="28"/>
        </w:rPr>
      </w:pPr>
      <w:r w:rsidRPr="00556588">
        <w:rPr>
          <w:rFonts w:ascii="Arial" w:hAnsi="Arial" w:cs="Arial"/>
          <w:color w:val="555555"/>
          <w:sz w:val="28"/>
          <w:szCs w:val="28"/>
        </w:rPr>
        <w:t>In Partnership with Save the Children International (SCI)</w:t>
      </w:r>
    </w:p>
    <w:p w14:paraId="5A169BE6" w14:textId="77777777" w:rsidR="00D6070A" w:rsidRPr="00556588" w:rsidRDefault="00D6070A" w:rsidP="00556588">
      <w:pPr>
        <w:spacing w:after="0" w:line="240" w:lineRule="auto"/>
        <w:rPr>
          <w:rFonts w:ascii="Arial" w:hAnsi="Arial" w:cs="Arial"/>
          <w:sz w:val="28"/>
          <w:szCs w:val="28"/>
        </w:rPr>
      </w:pPr>
    </w:p>
    <w:p w14:paraId="3067A32B" w14:textId="5D3F21B5" w:rsidR="00D6070A" w:rsidRPr="00556588" w:rsidRDefault="00D6070A" w:rsidP="00556588">
      <w:pPr>
        <w:spacing w:after="0" w:line="240" w:lineRule="auto"/>
        <w:jc w:val="center"/>
        <w:rPr>
          <w:rFonts w:ascii="Arial" w:hAnsi="Arial" w:cs="Arial"/>
          <w:sz w:val="28"/>
          <w:szCs w:val="28"/>
        </w:rPr>
      </w:pPr>
      <w:r w:rsidRPr="00556588">
        <w:rPr>
          <w:rFonts w:ascii="Arial" w:hAnsi="Arial" w:cs="Arial"/>
          <w:color w:val="555555"/>
          <w:sz w:val="28"/>
          <w:szCs w:val="28"/>
        </w:rPr>
        <w:t>Mogadishu, Somalia | 202</w:t>
      </w:r>
      <w:r w:rsidR="00615EE8" w:rsidRPr="00556588">
        <w:rPr>
          <w:rFonts w:ascii="Arial" w:hAnsi="Arial" w:cs="Arial"/>
          <w:color w:val="555555"/>
          <w:sz w:val="28"/>
          <w:szCs w:val="28"/>
        </w:rPr>
        <w:t>6</w:t>
      </w:r>
    </w:p>
    <w:p w14:paraId="12EB6F95" w14:textId="77777777" w:rsidR="00D6070A" w:rsidRPr="00556588" w:rsidRDefault="00D6070A" w:rsidP="00556588">
      <w:pPr>
        <w:spacing w:after="0" w:line="240" w:lineRule="auto"/>
        <w:rPr>
          <w:rFonts w:ascii="Arial" w:hAnsi="Arial" w:cs="Arial"/>
          <w:sz w:val="28"/>
          <w:szCs w:val="28"/>
        </w:rPr>
      </w:pPr>
      <w:r w:rsidRPr="00556588">
        <w:rPr>
          <w:rFonts w:ascii="Arial" w:hAnsi="Arial" w:cs="Arial"/>
          <w:sz w:val="28"/>
          <w:szCs w:val="28"/>
        </w:rPr>
        <w:br w:type="page"/>
      </w:r>
    </w:p>
    <w:p w14:paraId="6E600792"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1A3A6B"/>
          <w:sz w:val="28"/>
          <w:szCs w:val="28"/>
        </w:rPr>
        <w:lastRenderedPageBreak/>
        <w:t>1. Introduction and Background</w:t>
      </w:r>
    </w:p>
    <w:p w14:paraId="750F650C" w14:textId="77777777" w:rsidR="00556588" w:rsidRPr="00556588" w:rsidRDefault="00556588" w:rsidP="00556588">
      <w:pPr>
        <w:pBdr>
          <w:bottom w:val="single" w:sz="6" w:space="0" w:color="4B87CD"/>
        </w:pBdr>
        <w:spacing w:after="0" w:line="240" w:lineRule="auto"/>
        <w:rPr>
          <w:rFonts w:asciiTheme="minorBidi" w:hAnsiTheme="minorBidi" w:cstheme="minorBidi"/>
          <w:sz w:val="24"/>
          <w:szCs w:val="24"/>
        </w:rPr>
      </w:pPr>
    </w:p>
    <w:p w14:paraId="6AA464AF" w14:textId="77777777" w:rsidR="00556588" w:rsidRPr="00556588" w:rsidRDefault="00556588" w:rsidP="00556588">
      <w:pPr>
        <w:spacing w:after="0" w:line="240" w:lineRule="auto"/>
        <w:rPr>
          <w:rFonts w:asciiTheme="minorBidi" w:hAnsiTheme="minorBidi" w:cstheme="minorBidi"/>
          <w:sz w:val="24"/>
          <w:szCs w:val="24"/>
        </w:rPr>
      </w:pPr>
    </w:p>
    <w:p w14:paraId="3FB779FF"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Somalia has a rich linguistic heritage, with Somali serving as the mother tongue for its population. The adoption of the Latin script for the Somali language in 1972, and its subsequent introduction as the medium of instruction in primary and secondary schools in 1975, marked a significant milestone in the nation's educational development. This policy </w:t>
      </w:r>
      <w:proofErr w:type="gramStart"/>
      <w:r w:rsidRPr="00556588">
        <w:rPr>
          <w:rFonts w:asciiTheme="minorBidi" w:hAnsiTheme="minorBidi" w:cstheme="minorBidi"/>
          <w:sz w:val="24"/>
          <w:szCs w:val="24"/>
        </w:rPr>
        <w:t>aimed</w:t>
      </w:r>
      <w:proofErr w:type="gramEnd"/>
      <w:r w:rsidRPr="00556588">
        <w:rPr>
          <w:rFonts w:asciiTheme="minorBidi" w:hAnsiTheme="minorBidi" w:cstheme="minorBidi"/>
          <w:sz w:val="24"/>
          <w:szCs w:val="24"/>
        </w:rPr>
        <w:t xml:space="preserve"> to enhance literacy and facilitate learning by leveraging students' native language. Currently, Somali is the official language of instruction in primary schools (Grades 1–8). However, a transition occurs at the secondary level (Grades 9–12), where English becomes the primary medium of instruction for scientific subjects, while Arabic is taught as a compulsory subject. Notably, Islamic Studies is delivered in Arabic across all grades, and History and Geography are taught in Somali throughout secondary level. Higher education institutions in Somalia predominantly </w:t>
      </w:r>
      <w:proofErr w:type="spellStart"/>
      <w:r w:rsidRPr="00556588">
        <w:rPr>
          <w:rFonts w:asciiTheme="minorBidi" w:hAnsiTheme="minorBidi" w:cstheme="minorBidi"/>
          <w:sz w:val="24"/>
          <w:szCs w:val="24"/>
        </w:rPr>
        <w:t>utilise</w:t>
      </w:r>
      <w:proofErr w:type="spellEnd"/>
      <w:r w:rsidRPr="00556588">
        <w:rPr>
          <w:rFonts w:asciiTheme="minorBidi" w:hAnsiTheme="minorBidi" w:cstheme="minorBidi"/>
          <w:sz w:val="24"/>
          <w:szCs w:val="24"/>
        </w:rPr>
        <w:t xml:space="preserve"> English and Arabic for instruction.</w:t>
      </w:r>
    </w:p>
    <w:p w14:paraId="7CCFFF1A" w14:textId="77777777" w:rsidR="00556588" w:rsidRPr="00556588" w:rsidRDefault="00556588" w:rsidP="00556588">
      <w:pPr>
        <w:spacing w:after="0" w:line="240" w:lineRule="auto"/>
        <w:jc w:val="both"/>
        <w:rPr>
          <w:rFonts w:asciiTheme="minorBidi" w:hAnsiTheme="minorBidi" w:cstheme="minorBidi"/>
          <w:sz w:val="24"/>
          <w:szCs w:val="24"/>
        </w:rPr>
      </w:pPr>
    </w:p>
    <w:p w14:paraId="43D8C308" w14:textId="77777777" w:rsidR="00556588" w:rsidRPr="00556588" w:rsidRDefault="00556588" w:rsidP="00556588">
      <w:pPr>
        <w:spacing w:after="0" w:line="240" w:lineRule="auto"/>
        <w:jc w:val="both"/>
        <w:rPr>
          <w:rFonts w:asciiTheme="minorBidi" w:hAnsiTheme="minorBidi" w:cstheme="minorBidi"/>
          <w:sz w:val="24"/>
          <w:szCs w:val="24"/>
        </w:rPr>
      </w:pPr>
    </w:p>
    <w:p w14:paraId="6DBEE59E" w14:textId="1DE17CAA"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Recent developments, such as Somalia's integration into the East African Community (EAC), have prompted the decision in principle to introduce Kiswahili</w:t>
      </w:r>
      <w:r w:rsidR="003D30F1">
        <w:rPr>
          <w:rFonts w:asciiTheme="minorBidi" w:hAnsiTheme="minorBidi" w:cstheme="minorBidi"/>
          <w:sz w:val="24"/>
          <w:szCs w:val="24"/>
        </w:rPr>
        <w:t xml:space="preserve"> as a subject</w:t>
      </w:r>
      <w:r w:rsidRPr="00556588">
        <w:rPr>
          <w:rFonts w:asciiTheme="minorBidi" w:hAnsiTheme="minorBidi" w:cstheme="minorBidi"/>
          <w:sz w:val="24"/>
          <w:szCs w:val="24"/>
        </w:rPr>
        <w:t xml:space="preserve"> into the national curriculum. However, this remains an announcement at this stage; Kiswahili has not yet been formally introduced into the curriculum and will only be incorporated following the completion of relevant Teaching and Learning Materials and the preparation of qualified teachers. This prospective change further diversifies the linguistic landscape of education in Somalia and reinforces the urgency of this study.</w:t>
      </w:r>
    </w:p>
    <w:p w14:paraId="4F7BC4D3" w14:textId="77777777" w:rsidR="00556588" w:rsidRPr="00556588" w:rsidRDefault="00556588" w:rsidP="00556588">
      <w:pPr>
        <w:spacing w:after="0" w:line="240" w:lineRule="auto"/>
        <w:jc w:val="both"/>
        <w:rPr>
          <w:rFonts w:asciiTheme="minorBidi" w:hAnsiTheme="minorBidi" w:cstheme="minorBidi"/>
          <w:sz w:val="24"/>
          <w:szCs w:val="24"/>
        </w:rPr>
      </w:pPr>
    </w:p>
    <w:p w14:paraId="5A3AB82E" w14:textId="1603969D" w:rsidR="00556588" w:rsidRPr="00556588"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 xml:space="preserve">Despite the historical emphasis on mother tongue instruction in early education, concerns persist regarding its long-term impact on academic performance, particularly during the transition to foreign-language-medium instruction in higher grades. Anecdotal evidence suggests a potential decline in academic performance when students shift from Somali-medium primary education to English-medium secondary education. This research aims to systematically investigate these impacts across all </w:t>
      </w:r>
      <w:r w:rsidR="009812FF" w:rsidRPr="001337DD">
        <w:rPr>
          <w:rFonts w:asciiTheme="minorBidi" w:hAnsiTheme="minorBidi" w:cstheme="minorBidi"/>
          <w:sz w:val="24"/>
          <w:szCs w:val="24"/>
        </w:rPr>
        <w:t xml:space="preserve">primary and secondary </w:t>
      </w:r>
      <w:r w:rsidRPr="001337DD">
        <w:rPr>
          <w:rFonts w:asciiTheme="minorBidi" w:hAnsiTheme="minorBidi" w:cstheme="minorBidi"/>
          <w:sz w:val="24"/>
          <w:szCs w:val="24"/>
        </w:rPr>
        <w:t>educational levels in Somalia — to inform evidence-based policy formulation.</w:t>
      </w:r>
    </w:p>
    <w:p w14:paraId="19B89B46" w14:textId="77777777" w:rsidR="00556588" w:rsidRPr="00556588" w:rsidRDefault="00556588" w:rsidP="00556588">
      <w:pPr>
        <w:spacing w:after="0" w:line="240" w:lineRule="auto"/>
        <w:jc w:val="both"/>
        <w:rPr>
          <w:rFonts w:asciiTheme="minorBidi" w:hAnsiTheme="minorBidi" w:cstheme="minorBidi"/>
          <w:sz w:val="24"/>
          <w:szCs w:val="24"/>
        </w:rPr>
      </w:pPr>
    </w:p>
    <w:p w14:paraId="5A2988BF"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1A3A6B"/>
          <w:sz w:val="28"/>
          <w:szCs w:val="28"/>
        </w:rPr>
        <w:t>2. Key Education Sector Facts</w:t>
      </w:r>
    </w:p>
    <w:p w14:paraId="066FE9B2"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i/>
          <w:iCs/>
          <w:sz w:val="24"/>
          <w:szCs w:val="24"/>
        </w:rPr>
        <w:t>(Source: 11th Somalia Annual Education Statistics Yearbook, 2023–2024)</w:t>
      </w:r>
    </w:p>
    <w:p w14:paraId="0E651122" w14:textId="77777777" w:rsidR="00556588" w:rsidRPr="00556588" w:rsidRDefault="00556588" w:rsidP="00556588">
      <w:pPr>
        <w:pBdr>
          <w:bottom w:val="single" w:sz="6" w:space="0" w:color="4B87CD"/>
        </w:pBdr>
        <w:spacing w:after="0" w:line="240" w:lineRule="auto"/>
        <w:rPr>
          <w:rFonts w:asciiTheme="minorBidi" w:hAnsiTheme="minorBidi" w:cstheme="minorBidi"/>
          <w:sz w:val="24"/>
          <w:szCs w:val="24"/>
        </w:rPr>
      </w:pPr>
    </w:p>
    <w:p w14:paraId="564EF30F" w14:textId="1A8155D8" w:rsidR="00556588" w:rsidRPr="001337DD"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following statistics, drawn from the most recent national education data, provide essential context for understanding the scale and equity dimensions of Somalia’s education system — including enrolment, teacher qualifications, and learning outcomes — all of which are directly </w:t>
      </w:r>
      <w:r w:rsidRPr="001337DD">
        <w:rPr>
          <w:rFonts w:asciiTheme="minorBidi" w:hAnsiTheme="minorBidi" w:cstheme="minorBidi"/>
          <w:sz w:val="24"/>
          <w:szCs w:val="24"/>
        </w:rPr>
        <w:t>relevant to assessing the impact of language of instruction on academic performance:</w:t>
      </w:r>
    </w:p>
    <w:tbl>
      <w:tblPr>
        <w:tblStyle w:val="TableGrid"/>
        <w:tblW w:w="10075" w:type="dxa"/>
        <w:tblLook w:val="0000" w:firstRow="0" w:lastRow="0" w:firstColumn="0" w:lastColumn="0" w:noHBand="0" w:noVBand="0"/>
      </w:tblPr>
      <w:tblGrid>
        <w:gridCol w:w="4585"/>
        <w:gridCol w:w="5490"/>
      </w:tblGrid>
      <w:tr w:rsidR="00556588" w:rsidRPr="001337DD" w14:paraId="40E59821" w14:textId="77777777" w:rsidTr="00556588">
        <w:tc>
          <w:tcPr>
            <w:tcW w:w="4585" w:type="dxa"/>
            <w:shd w:val="clear" w:color="auto" w:fill="657C9C" w:themeFill="text2" w:themeFillTint="BF"/>
          </w:tcPr>
          <w:p w14:paraId="2DCF58A6"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b/>
                <w:bCs/>
                <w:color w:val="FFFFFF"/>
                <w:sz w:val="24"/>
                <w:szCs w:val="24"/>
              </w:rPr>
              <w:t>Indicator</w:t>
            </w:r>
          </w:p>
        </w:tc>
        <w:tc>
          <w:tcPr>
            <w:tcW w:w="5490" w:type="dxa"/>
            <w:shd w:val="clear" w:color="auto" w:fill="657C9C" w:themeFill="text2" w:themeFillTint="BF"/>
          </w:tcPr>
          <w:p w14:paraId="068895C0"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b/>
                <w:bCs/>
                <w:color w:val="FFFFFF"/>
                <w:sz w:val="24"/>
                <w:szCs w:val="24"/>
              </w:rPr>
              <w:t>Figure (2023/24)</w:t>
            </w:r>
          </w:p>
        </w:tc>
      </w:tr>
      <w:tr w:rsidR="00556588" w:rsidRPr="001337DD" w14:paraId="749BC90D" w14:textId="77777777" w:rsidTr="00556588">
        <w:tc>
          <w:tcPr>
            <w:tcW w:w="4585" w:type="dxa"/>
          </w:tcPr>
          <w:p w14:paraId="4309F85D"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Primary gross enrolment rate (GER)</w:t>
            </w:r>
          </w:p>
        </w:tc>
        <w:tc>
          <w:tcPr>
            <w:tcW w:w="5490" w:type="dxa"/>
          </w:tcPr>
          <w:p w14:paraId="7089E179"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35.3% (female: 31%, male: 40%)</w:t>
            </w:r>
          </w:p>
        </w:tc>
      </w:tr>
      <w:tr w:rsidR="00556588" w:rsidRPr="001337DD" w14:paraId="716E1374" w14:textId="77777777" w:rsidTr="00556588">
        <w:tc>
          <w:tcPr>
            <w:tcW w:w="4585" w:type="dxa"/>
          </w:tcPr>
          <w:p w14:paraId="177CFFB8"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Total primary school enrolment</w:t>
            </w:r>
          </w:p>
        </w:tc>
        <w:tc>
          <w:tcPr>
            <w:tcW w:w="5490" w:type="dxa"/>
          </w:tcPr>
          <w:p w14:paraId="316B0365"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718,301 students</w:t>
            </w:r>
          </w:p>
        </w:tc>
      </w:tr>
      <w:tr w:rsidR="00556588" w:rsidRPr="001337DD" w14:paraId="02646CEE" w14:textId="77777777" w:rsidTr="00556588">
        <w:tc>
          <w:tcPr>
            <w:tcW w:w="4585" w:type="dxa"/>
          </w:tcPr>
          <w:p w14:paraId="26ED3A36"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Girls' share of primary enrolment</w:t>
            </w:r>
          </w:p>
        </w:tc>
        <w:tc>
          <w:tcPr>
            <w:tcW w:w="5490" w:type="dxa"/>
          </w:tcPr>
          <w:p w14:paraId="75DEE0D6"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45% (Gender Parity Index: 0.82)</w:t>
            </w:r>
          </w:p>
        </w:tc>
      </w:tr>
      <w:tr w:rsidR="00556588" w:rsidRPr="001337DD" w14:paraId="4913B6AD" w14:textId="77777777" w:rsidTr="00556588">
        <w:tc>
          <w:tcPr>
            <w:tcW w:w="4585" w:type="dxa"/>
          </w:tcPr>
          <w:p w14:paraId="170AD114"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Primary out-of-school children</w:t>
            </w:r>
          </w:p>
        </w:tc>
        <w:tc>
          <w:tcPr>
            <w:tcW w:w="5490" w:type="dxa"/>
          </w:tcPr>
          <w:p w14:paraId="1503AD15"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65% (female: 69%, male: 60%)</w:t>
            </w:r>
          </w:p>
        </w:tc>
      </w:tr>
      <w:tr w:rsidR="00556588" w:rsidRPr="001337DD" w14:paraId="0024EA80" w14:textId="77777777" w:rsidTr="00556588">
        <w:tc>
          <w:tcPr>
            <w:tcW w:w="4585" w:type="dxa"/>
          </w:tcPr>
          <w:p w14:paraId="1453DF98"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Net enrolment rate (NER) primary</w:t>
            </w:r>
          </w:p>
        </w:tc>
        <w:tc>
          <w:tcPr>
            <w:tcW w:w="5490" w:type="dxa"/>
          </w:tcPr>
          <w:p w14:paraId="70B58E67"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17%</w:t>
            </w:r>
          </w:p>
        </w:tc>
      </w:tr>
      <w:tr w:rsidR="00556588" w:rsidRPr="001337DD" w14:paraId="1DB49E95" w14:textId="77777777" w:rsidTr="00556588">
        <w:tc>
          <w:tcPr>
            <w:tcW w:w="4585" w:type="dxa"/>
          </w:tcPr>
          <w:p w14:paraId="2344E554"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Secondary gross enrolment rate (GER)</w:t>
            </w:r>
          </w:p>
        </w:tc>
        <w:tc>
          <w:tcPr>
            <w:tcW w:w="5490" w:type="dxa"/>
          </w:tcPr>
          <w:p w14:paraId="251E7D2B"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25.1% (female: 21%, male: 29%)</w:t>
            </w:r>
          </w:p>
        </w:tc>
      </w:tr>
      <w:tr w:rsidR="00556588" w:rsidRPr="001337DD" w14:paraId="19E776B3" w14:textId="77777777" w:rsidTr="00556588">
        <w:tc>
          <w:tcPr>
            <w:tcW w:w="4585" w:type="dxa"/>
          </w:tcPr>
          <w:p w14:paraId="35348A4E"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Total secondary school enrolment</w:t>
            </w:r>
          </w:p>
        </w:tc>
        <w:tc>
          <w:tcPr>
            <w:tcW w:w="5490" w:type="dxa"/>
          </w:tcPr>
          <w:p w14:paraId="3BAA9373"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177,174 students</w:t>
            </w:r>
          </w:p>
        </w:tc>
      </w:tr>
      <w:tr w:rsidR="00556588" w:rsidRPr="001337DD" w14:paraId="4ABB5AAB" w14:textId="77777777" w:rsidTr="00556588">
        <w:tc>
          <w:tcPr>
            <w:tcW w:w="4585" w:type="dxa"/>
          </w:tcPr>
          <w:p w14:paraId="5FC17549"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Secondary out-of-school rate</w:t>
            </w:r>
          </w:p>
        </w:tc>
        <w:tc>
          <w:tcPr>
            <w:tcW w:w="5490" w:type="dxa"/>
          </w:tcPr>
          <w:p w14:paraId="1BBD5D92"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75% (female: 79%, male: 71%)</w:t>
            </w:r>
          </w:p>
        </w:tc>
      </w:tr>
      <w:tr w:rsidR="00556588" w:rsidRPr="001337DD" w14:paraId="735D4778" w14:textId="77777777" w:rsidTr="00556588">
        <w:tc>
          <w:tcPr>
            <w:tcW w:w="4585" w:type="dxa"/>
          </w:tcPr>
          <w:p w14:paraId="1092278B"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lastRenderedPageBreak/>
              <w:t>Total teachers (all levels)</w:t>
            </w:r>
          </w:p>
        </w:tc>
        <w:tc>
          <w:tcPr>
            <w:tcW w:w="5490" w:type="dxa"/>
          </w:tcPr>
          <w:p w14:paraId="5203B5AB"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23,279 (62.5% formally credentialed)</w:t>
            </w:r>
          </w:p>
        </w:tc>
      </w:tr>
      <w:tr w:rsidR="00556588" w:rsidRPr="001337DD" w14:paraId="349CC423" w14:textId="77777777" w:rsidTr="00556588">
        <w:tc>
          <w:tcPr>
            <w:tcW w:w="4585" w:type="dxa"/>
          </w:tcPr>
          <w:p w14:paraId="5C8BCB71"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Female teachers — national average</w:t>
            </w:r>
          </w:p>
        </w:tc>
        <w:tc>
          <w:tcPr>
            <w:tcW w:w="5490" w:type="dxa"/>
          </w:tcPr>
          <w:p w14:paraId="7A0889D6"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12% overall (14.1% primary; 3.5% secondary)</w:t>
            </w:r>
          </w:p>
        </w:tc>
      </w:tr>
      <w:tr w:rsidR="00556588" w:rsidRPr="001337DD" w14:paraId="2ACDDB95" w14:textId="77777777" w:rsidTr="00556588">
        <w:tc>
          <w:tcPr>
            <w:tcW w:w="4585" w:type="dxa"/>
          </w:tcPr>
          <w:p w14:paraId="7D1D540B"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National pupil-teacher ratio (PTR)</w:t>
            </w:r>
          </w:p>
        </w:tc>
        <w:tc>
          <w:tcPr>
            <w:tcW w:w="5490" w:type="dxa"/>
          </w:tcPr>
          <w:p w14:paraId="692E2853"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43:1 (Qualified PTR: 69:1)</w:t>
            </w:r>
          </w:p>
        </w:tc>
      </w:tr>
      <w:tr w:rsidR="00556588" w:rsidRPr="001337DD" w14:paraId="1AC2DF85" w14:textId="77777777" w:rsidTr="00556588">
        <w:tc>
          <w:tcPr>
            <w:tcW w:w="4585" w:type="dxa"/>
          </w:tcPr>
          <w:p w14:paraId="366DBE64"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Permanent school buildings</w:t>
            </w:r>
          </w:p>
        </w:tc>
        <w:tc>
          <w:tcPr>
            <w:tcW w:w="5490" w:type="dxa"/>
          </w:tcPr>
          <w:p w14:paraId="2B2DE54F"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Only 39% of schools have permanent structures</w:t>
            </w:r>
          </w:p>
        </w:tc>
      </w:tr>
      <w:tr w:rsidR="00556588" w:rsidRPr="001337DD" w14:paraId="1FE0FDD3" w14:textId="77777777" w:rsidTr="00556588">
        <w:tc>
          <w:tcPr>
            <w:tcW w:w="4585" w:type="dxa"/>
          </w:tcPr>
          <w:p w14:paraId="4105A04C"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ABE enrolment (overage/out-of-school learners)</w:t>
            </w:r>
          </w:p>
        </w:tc>
        <w:tc>
          <w:tcPr>
            <w:tcW w:w="5490" w:type="dxa"/>
          </w:tcPr>
          <w:p w14:paraId="0FE3592E"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110,187 (GPI: 0.96)</w:t>
            </w:r>
          </w:p>
        </w:tc>
      </w:tr>
      <w:tr w:rsidR="00556588" w:rsidRPr="00556588" w14:paraId="499CEA8D" w14:textId="77777777" w:rsidTr="00556588">
        <w:tc>
          <w:tcPr>
            <w:tcW w:w="4585" w:type="dxa"/>
          </w:tcPr>
          <w:p w14:paraId="15763F67" w14:textId="77777777" w:rsidR="00556588" w:rsidRPr="001337DD"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Grade 8 promotion rate</w:t>
            </w:r>
          </w:p>
        </w:tc>
        <w:tc>
          <w:tcPr>
            <w:tcW w:w="5490" w:type="dxa"/>
          </w:tcPr>
          <w:p w14:paraId="746B0B49" w14:textId="77777777" w:rsidR="00556588" w:rsidRPr="00556588" w:rsidRDefault="00556588" w:rsidP="00556588">
            <w:pPr>
              <w:spacing w:after="0" w:line="240" w:lineRule="auto"/>
              <w:jc w:val="both"/>
              <w:rPr>
                <w:rFonts w:asciiTheme="minorBidi" w:hAnsiTheme="minorBidi" w:cstheme="minorBidi"/>
                <w:sz w:val="24"/>
                <w:szCs w:val="24"/>
              </w:rPr>
            </w:pPr>
            <w:r w:rsidRPr="001337DD">
              <w:rPr>
                <w:rFonts w:asciiTheme="minorBidi" w:hAnsiTheme="minorBidi" w:cstheme="minorBidi"/>
                <w:sz w:val="24"/>
                <w:szCs w:val="24"/>
              </w:rPr>
              <w:t>66% (national)</w:t>
            </w:r>
          </w:p>
        </w:tc>
      </w:tr>
    </w:tbl>
    <w:p w14:paraId="23DF06F4" w14:textId="77777777" w:rsidR="00556588" w:rsidRPr="00556588" w:rsidRDefault="00556588" w:rsidP="00556588">
      <w:pPr>
        <w:spacing w:after="0" w:line="240" w:lineRule="auto"/>
        <w:jc w:val="both"/>
        <w:rPr>
          <w:rFonts w:asciiTheme="minorBidi" w:hAnsiTheme="minorBidi" w:cstheme="minorBidi"/>
          <w:sz w:val="24"/>
          <w:szCs w:val="24"/>
        </w:rPr>
      </w:pPr>
    </w:p>
    <w:p w14:paraId="3E1A8F6A"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These figures underscore the critical urgency of this research. Somalia's primary Gross Enrolment Rate of 35.3% — while improved from previous years — remains among the lowest globally, with severe gender and rural–urban disparities. With only 62.5% of teachers holding formal qualifications, the quality of instruction — including the language of instruction — is a foundational concern for improving learning outcomes across all levels of the education system.</w:t>
      </w:r>
    </w:p>
    <w:p w14:paraId="1BFCA802" w14:textId="77777777" w:rsidR="00556588" w:rsidRPr="00556588" w:rsidRDefault="00556588" w:rsidP="00556588">
      <w:pPr>
        <w:spacing w:after="0" w:line="240" w:lineRule="auto"/>
        <w:jc w:val="both"/>
        <w:rPr>
          <w:rFonts w:asciiTheme="minorBidi" w:hAnsiTheme="minorBidi" w:cstheme="minorBidi"/>
          <w:sz w:val="24"/>
          <w:szCs w:val="24"/>
        </w:rPr>
      </w:pPr>
    </w:p>
    <w:p w14:paraId="36216578" w14:textId="5372930E" w:rsidR="00556588" w:rsidRPr="00556588" w:rsidRDefault="00556588" w:rsidP="00556588">
      <w:pPr>
        <w:spacing w:after="0" w:line="240" w:lineRule="auto"/>
        <w:rPr>
          <w:rFonts w:asciiTheme="minorBidi" w:hAnsiTheme="minorBidi" w:cstheme="minorBidi"/>
          <w:b/>
          <w:bCs/>
          <w:color w:val="1A3A6B"/>
          <w:sz w:val="28"/>
          <w:szCs w:val="28"/>
        </w:rPr>
      </w:pPr>
      <w:r w:rsidRPr="00556588">
        <w:rPr>
          <w:rFonts w:asciiTheme="minorBidi" w:hAnsiTheme="minorBidi" w:cstheme="minorBidi"/>
          <w:b/>
          <w:bCs/>
          <w:color w:val="1A3A6B"/>
          <w:sz w:val="28"/>
          <w:szCs w:val="28"/>
        </w:rPr>
        <w:t>3. Objectives of the Research</w:t>
      </w:r>
    </w:p>
    <w:p w14:paraId="3A3E7C78"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overarching goal of this study is to generate rapid, actionable, Somalia-specific evidence on whether and how Somali mother tongue instruction affects student learning outcomes across the full education continuum, directly informing MOECHE's language-in-education policy reform, national curriculum development, and the Strengthening Teaching and Girls' Education (STG) </w:t>
      </w:r>
      <w:proofErr w:type="spellStart"/>
      <w:r w:rsidRPr="00556588">
        <w:rPr>
          <w:rFonts w:asciiTheme="minorBidi" w:hAnsiTheme="minorBidi" w:cstheme="minorBidi"/>
          <w:sz w:val="24"/>
          <w:szCs w:val="24"/>
        </w:rPr>
        <w:t>programme's</w:t>
      </w:r>
      <w:proofErr w:type="spellEnd"/>
      <w:r w:rsidRPr="00556588">
        <w:rPr>
          <w:rFonts w:asciiTheme="minorBidi" w:hAnsiTheme="minorBidi" w:cstheme="minorBidi"/>
          <w:sz w:val="24"/>
          <w:szCs w:val="24"/>
        </w:rPr>
        <w:t xml:space="preserve"> learning agenda.</w:t>
      </w:r>
    </w:p>
    <w:p w14:paraId="0A39D333" w14:textId="77777777" w:rsidR="00556588" w:rsidRPr="00556588" w:rsidRDefault="00556588" w:rsidP="00556588">
      <w:pPr>
        <w:spacing w:after="0" w:line="240" w:lineRule="auto"/>
        <w:jc w:val="both"/>
        <w:rPr>
          <w:rFonts w:asciiTheme="minorBidi" w:hAnsiTheme="minorBidi" w:cstheme="minorBidi"/>
          <w:sz w:val="24"/>
          <w:szCs w:val="24"/>
        </w:rPr>
      </w:pPr>
    </w:p>
    <w:p w14:paraId="67680991"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2E5F9E"/>
          <w:sz w:val="28"/>
          <w:szCs w:val="28"/>
        </w:rPr>
        <w:t>3.1 General Objectives</w:t>
      </w:r>
    </w:p>
    <w:p w14:paraId="1D43E8CD"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 primary objective of this consultancy is to conduct a comprehensive research study on the impact of mother tongue (Somali) instruction on academic performance in Somalia. General objectives include:</w:t>
      </w:r>
    </w:p>
    <w:p w14:paraId="5146D43E"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Evaluate the effectiveness of current Somali-language instruction in primary schools on student literacy and numeracy outcomes.</w:t>
      </w:r>
    </w:p>
    <w:p w14:paraId="25492B36"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Assess the impact of the transition to English-medium instruction in secondary schools on academic performance, retention rates, and dropout rates.</w:t>
      </w:r>
    </w:p>
    <w:p w14:paraId="030B848C" w14:textId="77777777" w:rsidR="00556588" w:rsidRPr="00920692" w:rsidRDefault="00556588" w:rsidP="00556588">
      <w:pPr>
        <w:pStyle w:val="ListParagraph"/>
        <w:numPr>
          <w:ilvl w:val="0"/>
          <w:numId w:val="15"/>
        </w:numPr>
        <w:ind w:left="720"/>
        <w:contextualSpacing w:val="0"/>
        <w:jc w:val="both"/>
        <w:rPr>
          <w:rFonts w:asciiTheme="minorBidi" w:hAnsiTheme="minorBidi" w:cstheme="minorBidi"/>
        </w:rPr>
      </w:pPr>
      <w:r w:rsidRPr="00920692">
        <w:rPr>
          <w:rFonts w:asciiTheme="minorBidi" w:hAnsiTheme="minorBidi" w:cstheme="minorBidi"/>
        </w:rPr>
        <w:t>Explore the potential and feasibility of expanding Somali-language instruction into specific higher education disciplines, including the development of academic terminology in Somali.</w:t>
      </w:r>
    </w:p>
    <w:p w14:paraId="6BE89EBC"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Analyse the socio-economic and cultural benefits of mother-tongue instruction within the Somali context, including its role in preserving cultural identity and fostering community engagement.</w:t>
      </w:r>
    </w:p>
    <w:p w14:paraId="561E951F" w14:textId="77777777" w:rsidR="00556588" w:rsidRPr="00556588" w:rsidRDefault="00556588" w:rsidP="00556588">
      <w:pPr>
        <w:pStyle w:val="ListParagraph"/>
        <w:jc w:val="both"/>
        <w:rPr>
          <w:rFonts w:asciiTheme="minorBidi" w:hAnsiTheme="minorBidi" w:cstheme="minorBidi"/>
        </w:rPr>
      </w:pPr>
    </w:p>
    <w:p w14:paraId="6E4BBCB9"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2E5F9E"/>
          <w:sz w:val="28"/>
          <w:szCs w:val="28"/>
        </w:rPr>
        <w:t>3.2 Specific Objectives</w:t>
      </w:r>
    </w:p>
    <w:p w14:paraId="6A93E5B6"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 study has the following specific objectives:</w:t>
      </w:r>
    </w:p>
    <w:p w14:paraId="46E07585" w14:textId="3F8E7009"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Compare academic performance outcomes between students who received Somali-medium instruction and those taught in Arabic or English prior to the introduction of the unified national curriculum, across, primary, and secondary.</w:t>
      </w:r>
    </w:p>
    <w:p w14:paraId="2C095991" w14:textId="2882AFAB"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Assess cognitive development, early literacy acquisition, phonological awareness, and numeracy outcomes associated with Somali mother tongue instruction at lower primary levels.</w:t>
      </w:r>
    </w:p>
    <w:p w14:paraId="7DBDD8E1"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Examine historical trends in Somali-medium instruction prior to the civil war, learners' subsequent proficiency in Arabic and English as languages of instruction, and the current use of Somali as a medium of instruction — to determine whether a positive transfer effect exists in learning outcomes.</w:t>
      </w:r>
    </w:p>
    <w:p w14:paraId="77361B55"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lastRenderedPageBreak/>
        <w:t>Evaluate the extent to which the existing national curriculum framework and associated Teaching and Learning Materials (TLM) support Somali-medium instruction at each education level and identify critical gaps.</w:t>
      </w:r>
    </w:p>
    <w:p w14:paraId="71C385C9"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Analyse equity dimensions across various language-of-instruction models, with full disaggregation by gender, disability status, displacement status, Federal Member State (FMS), and urban/rural location.</w:t>
      </w:r>
    </w:p>
    <w:p w14:paraId="74F05E3C" w14:textId="3899F176"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Assess education readiness, academic performance, retention, and student experience by instruction language background at the university level.</w:t>
      </w:r>
    </w:p>
    <w:p w14:paraId="445C2B7E"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Develop practical, policy-ready recommendations owned by MOECHE for strengthening and scaling evidence-based language-in-education practices across Somalia's six Federal Member States.</w:t>
      </w:r>
    </w:p>
    <w:p w14:paraId="1EFD58D1" w14:textId="77777777" w:rsidR="00556588" w:rsidRPr="00556588" w:rsidRDefault="00556588" w:rsidP="00556588">
      <w:pPr>
        <w:pStyle w:val="ListParagraph"/>
        <w:jc w:val="both"/>
        <w:rPr>
          <w:rFonts w:asciiTheme="minorBidi" w:hAnsiTheme="minorBidi" w:cstheme="minorBidi"/>
        </w:rPr>
      </w:pPr>
    </w:p>
    <w:p w14:paraId="0C2FADC5" w14:textId="2BA77CFC"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1A3A6B"/>
          <w:sz w:val="28"/>
          <w:szCs w:val="28"/>
        </w:rPr>
        <w:t>4. Geographic Scope</w:t>
      </w:r>
    </w:p>
    <w:p w14:paraId="1C2A23E1" w14:textId="64F28A26"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study covers all Federal Member States: Banadir Regional Administration (Mogadishu), Puntland, Jubaland, Southwest State, Galmudug, North-East (SSC Khatumo), and </w:t>
      </w:r>
      <w:proofErr w:type="spellStart"/>
      <w:r w:rsidRPr="00556588">
        <w:rPr>
          <w:rFonts w:asciiTheme="minorBidi" w:hAnsiTheme="minorBidi" w:cstheme="minorBidi"/>
          <w:sz w:val="24"/>
          <w:szCs w:val="24"/>
        </w:rPr>
        <w:t>Hirshabelle</w:t>
      </w:r>
      <w:proofErr w:type="spellEnd"/>
      <w:r w:rsidRPr="00556588">
        <w:rPr>
          <w:rFonts w:asciiTheme="minorBidi" w:hAnsiTheme="minorBidi" w:cstheme="minorBidi"/>
          <w:sz w:val="24"/>
          <w:szCs w:val="24"/>
        </w:rPr>
        <w:t>. This national coverage is essential for capturing the diversity of language-in-education practices across Somalia's varied geographic, socio-economic, and conflict-affected contexts. Approximately 30–40 schools will be selected as study sites, covering the following education levels:</w:t>
      </w:r>
    </w:p>
    <w:p w14:paraId="34DA487D" w14:textId="77777777" w:rsidR="00556588" w:rsidRPr="00556588" w:rsidRDefault="00556588" w:rsidP="00556588">
      <w:pPr>
        <w:pStyle w:val="ListParagraph"/>
        <w:numPr>
          <w:ilvl w:val="0"/>
          <w:numId w:val="15"/>
        </w:numPr>
        <w:contextualSpacing w:val="0"/>
        <w:rPr>
          <w:rFonts w:asciiTheme="minorBidi" w:hAnsiTheme="minorBidi" w:cstheme="minorBidi"/>
        </w:rPr>
      </w:pPr>
      <w:r w:rsidRPr="00556588">
        <w:rPr>
          <w:rFonts w:asciiTheme="minorBidi" w:hAnsiTheme="minorBidi" w:cstheme="minorBidi"/>
        </w:rPr>
        <w:t>Primary Education (Grades 1–8, ages approximately 6–14)</w:t>
      </w:r>
    </w:p>
    <w:p w14:paraId="351BBE13" w14:textId="77777777" w:rsidR="00556588" w:rsidRPr="00556588" w:rsidRDefault="00556588" w:rsidP="00556588">
      <w:pPr>
        <w:pStyle w:val="ListParagraph"/>
        <w:numPr>
          <w:ilvl w:val="0"/>
          <w:numId w:val="15"/>
        </w:numPr>
        <w:contextualSpacing w:val="0"/>
        <w:rPr>
          <w:rFonts w:asciiTheme="minorBidi" w:hAnsiTheme="minorBidi" w:cstheme="minorBidi"/>
        </w:rPr>
      </w:pPr>
      <w:r w:rsidRPr="00556588">
        <w:rPr>
          <w:rFonts w:asciiTheme="minorBidi" w:hAnsiTheme="minorBidi" w:cstheme="minorBidi"/>
        </w:rPr>
        <w:t>Secondary Education (Grades 9–12, ages approximately 14–18)</w:t>
      </w:r>
    </w:p>
    <w:p w14:paraId="331AF0EC" w14:textId="77777777" w:rsidR="00556588" w:rsidRPr="00556588" w:rsidRDefault="00556588" w:rsidP="00556588">
      <w:pPr>
        <w:spacing w:after="0" w:line="240" w:lineRule="auto"/>
        <w:jc w:val="both"/>
        <w:rPr>
          <w:rFonts w:asciiTheme="minorBidi" w:hAnsiTheme="minorBidi" w:cstheme="minorBidi"/>
          <w:sz w:val="24"/>
          <w:szCs w:val="24"/>
        </w:rPr>
      </w:pPr>
    </w:p>
    <w:p w14:paraId="2B996015" w14:textId="6018B215"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 study also assesses community engagement, ownership, and the broader socio-economic and cultural factors that may mediate the relationship between language of instruction and educational outcomes — with specific attention to understanding this correlation within the Somali context.</w:t>
      </w:r>
    </w:p>
    <w:p w14:paraId="3607D102" w14:textId="77777777" w:rsidR="00556588" w:rsidRPr="00556588" w:rsidRDefault="00556588" w:rsidP="00556588">
      <w:pPr>
        <w:spacing w:after="0" w:line="240" w:lineRule="auto"/>
        <w:jc w:val="both"/>
        <w:rPr>
          <w:rFonts w:asciiTheme="minorBidi" w:hAnsiTheme="minorBidi" w:cstheme="minorBidi"/>
          <w:sz w:val="24"/>
          <w:szCs w:val="24"/>
        </w:rPr>
      </w:pPr>
    </w:p>
    <w:p w14:paraId="64EA0939"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1A3A6B"/>
          <w:sz w:val="28"/>
          <w:szCs w:val="28"/>
        </w:rPr>
        <w:t>5. Methodology</w:t>
      </w:r>
    </w:p>
    <w:p w14:paraId="0170C533" w14:textId="77777777" w:rsidR="00556588" w:rsidRPr="00556588" w:rsidRDefault="00556588" w:rsidP="00556588">
      <w:pPr>
        <w:pBdr>
          <w:bottom w:val="single" w:sz="6" w:space="0" w:color="4B87CD"/>
        </w:pBdr>
        <w:spacing w:after="0" w:line="240" w:lineRule="auto"/>
        <w:rPr>
          <w:rFonts w:asciiTheme="minorBidi" w:hAnsiTheme="minorBidi" w:cstheme="minorBidi"/>
          <w:sz w:val="24"/>
          <w:szCs w:val="24"/>
        </w:rPr>
      </w:pPr>
    </w:p>
    <w:p w14:paraId="5E49E1CF" w14:textId="07717A61"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study employs a rapid mixed-methods, cross-sectional quasi-experimental design. Given the reality that relatively </w:t>
      </w:r>
      <w:r w:rsidR="00853BAB">
        <w:rPr>
          <w:rFonts w:asciiTheme="minorBidi" w:hAnsiTheme="minorBidi" w:cstheme="minorBidi"/>
          <w:sz w:val="24"/>
          <w:szCs w:val="24"/>
        </w:rPr>
        <w:t xml:space="preserve">very </w:t>
      </w:r>
      <w:r w:rsidRPr="00556588">
        <w:rPr>
          <w:rFonts w:asciiTheme="minorBidi" w:hAnsiTheme="minorBidi" w:cstheme="minorBidi"/>
          <w:sz w:val="24"/>
          <w:szCs w:val="24"/>
        </w:rPr>
        <w:t xml:space="preserve">few </w:t>
      </w:r>
      <w:r w:rsidR="00853BAB">
        <w:rPr>
          <w:rFonts w:asciiTheme="minorBidi" w:hAnsiTheme="minorBidi" w:cstheme="minorBidi"/>
          <w:sz w:val="24"/>
          <w:szCs w:val="24"/>
        </w:rPr>
        <w:t xml:space="preserve">private </w:t>
      </w:r>
      <w:r w:rsidRPr="00556588">
        <w:rPr>
          <w:rFonts w:asciiTheme="minorBidi" w:hAnsiTheme="minorBidi" w:cstheme="minorBidi"/>
          <w:sz w:val="24"/>
          <w:szCs w:val="24"/>
        </w:rPr>
        <w:t>schools implement a pure Arabic- or English-medium approach in all subjects across all Federal Member States, the study will compare schools with documented Somali-medium instruction against schools where Arabic or English has historically been used as the primary language of instruction in specific subjects or levels. This design combines:</w:t>
      </w:r>
    </w:p>
    <w:p w14:paraId="5368A973"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Quantitative approaches: Standardised learning outcome assessments (adapted for primary, secondary, and university levels in Somali and comparison languages); structured student, teacher, and caregiver surveys; and EMIS/school record analysis.</w:t>
      </w:r>
    </w:p>
    <w:p w14:paraId="7139919E"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Qualitative approaches: Classroom observations (minimum two per school); Key Informant Interviews (KIIs) with 25–35 participants; and Focus Group Discussions (FGDs) with 6–10 groups comprising students, teachers, parents, and community leaders — all facilitated in Somali.</w:t>
      </w:r>
    </w:p>
    <w:p w14:paraId="4894495E" w14:textId="77777777" w:rsidR="00556588" w:rsidRPr="00556588" w:rsidRDefault="00556588" w:rsidP="00556588">
      <w:pPr>
        <w:pStyle w:val="ListParagraph"/>
        <w:jc w:val="both"/>
        <w:rPr>
          <w:rFonts w:asciiTheme="minorBidi" w:hAnsiTheme="minorBidi" w:cstheme="minorBidi"/>
        </w:rPr>
      </w:pPr>
    </w:p>
    <w:p w14:paraId="7BCF756F"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2E5F9E"/>
          <w:sz w:val="28"/>
          <w:szCs w:val="28"/>
        </w:rPr>
        <w:t>5.1 Literature Review</w:t>
      </w:r>
    </w:p>
    <w:p w14:paraId="60D91ECE"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 consultant will conduct a comprehensive review of existing national and international literature on mother tongue instruction, bilingual education, and their impact on academic performance, with a specific focus on contexts comparable to Somalia.</w:t>
      </w:r>
    </w:p>
    <w:p w14:paraId="047FABDE" w14:textId="77777777" w:rsidR="00556588" w:rsidRPr="00556588" w:rsidRDefault="00556588" w:rsidP="00556588">
      <w:pPr>
        <w:spacing w:after="0" w:line="240" w:lineRule="auto"/>
        <w:jc w:val="both"/>
        <w:rPr>
          <w:rFonts w:asciiTheme="minorBidi" w:hAnsiTheme="minorBidi" w:cstheme="minorBidi"/>
          <w:sz w:val="24"/>
          <w:szCs w:val="24"/>
        </w:rPr>
      </w:pPr>
    </w:p>
    <w:p w14:paraId="30F10DC2" w14:textId="77777777" w:rsidR="00556588" w:rsidRPr="00556588" w:rsidRDefault="00556588" w:rsidP="00556588">
      <w:pPr>
        <w:spacing w:after="0" w:line="240" w:lineRule="auto"/>
        <w:rPr>
          <w:rFonts w:asciiTheme="minorBidi" w:hAnsiTheme="minorBidi" w:cstheme="minorBidi"/>
          <w:sz w:val="28"/>
          <w:szCs w:val="28"/>
        </w:rPr>
      </w:pPr>
      <w:r w:rsidRPr="00556588">
        <w:rPr>
          <w:rFonts w:asciiTheme="minorBidi" w:hAnsiTheme="minorBidi" w:cstheme="minorBidi"/>
          <w:b/>
          <w:bCs/>
          <w:color w:val="2E5F9E"/>
          <w:sz w:val="28"/>
          <w:szCs w:val="28"/>
        </w:rPr>
        <w:lastRenderedPageBreak/>
        <w:t>5.2 Primary Data Collection</w:t>
      </w:r>
    </w:p>
    <w:p w14:paraId="2AA9A877"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Primary data collection will be conducted in selected sites across Somalia and will include:</w:t>
      </w:r>
    </w:p>
    <w:p w14:paraId="49B0A0AA" w14:textId="2E74B3A9"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Analysis of national examination results (e.g., Grade 8 and Grade 12) for periods both before (subject to data availability from MOECHE) and after the introduction of the unified national curriculum.</w:t>
      </w:r>
    </w:p>
    <w:p w14:paraId="181085E2"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Surveys and assessments of student performance under both mother tongue and second-language instruction models, as they existed prior to the new curriculum.</w:t>
      </w:r>
    </w:p>
    <w:p w14:paraId="4CECE6B3"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Interviews with key stakeholders, including officials from MOECHE, Federal Member State Ministries of Education, universities, academicians, parents, school principals, and teachers.</w:t>
      </w:r>
    </w:p>
    <w:p w14:paraId="375B3253"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Focus group discussions with students, parents, and community leaders.</w:t>
      </w:r>
    </w:p>
    <w:p w14:paraId="40A67710" w14:textId="77777777" w:rsidR="00556588" w:rsidRPr="00556588" w:rsidRDefault="00556588" w:rsidP="00556588">
      <w:pPr>
        <w:spacing w:after="0" w:line="240" w:lineRule="auto"/>
        <w:jc w:val="both"/>
        <w:rPr>
          <w:rFonts w:asciiTheme="minorBidi" w:hAnsiTheme="minorBidi" w:cstheme="minorBidi"/>
          <w:sz w:val="24"/>
          <w:szCs w:val="24"/>
        </w:rPr>
      </w:pPr>
    </w:p>
    <w:p w14:paraId="4D3283A4" w14:textId="77777777"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2E5F9E"/>
          <w:sz w:val="28"/>
          <w:szCs w:val="28"/>
        </w:rPr>
        <w:t>5.3 Data Analysis</w:t>
      </w:r>
    </w:p>
    <w:p w14:paraId="25F11AD3"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consultant will </w:t>
      </w:r>
      <w:proofErr w:type="spellStart"/>
      <w:r w:rsidRPr="00556588">
        <w:rPr>
          <w:rFonts w:asciiTheme="minorBidi" w:hAnsiTheme="minorBidi" w:cstheme="minorBidi"/>
          <w:sz w:val="24"/>
          <w:szCs w:val="24"/>
        </w:rPr>
        <w:t>analyse</w:t>
      </w:r>
      <w:proofErr w:type="spellEnd"/>
      <w:r w:rsidRPr="00556588">
        <w:rPr>
          <w:rFonts w:asciiTheme="minorBidi" w:hAnsiTheme="minorBidi" w:cstheme="minorBidi"/>
          <w:sz w:val="24"/>
          <w:szCs w:val="24"/>
        </w:rPr>
        <w:t xml:space="preserve"> collected quantitative and qualitative data to identify trends, correlations, and causal relationships between language of instruction and academic outcomes, with full disaggregation by gender, disability status, IDP/non-IDP status, and urban/rural location.</w:t>
      </w:r>
    </w:p>
    <w:p w14:paraId="2D9EC7E0" w14:textId="77777777" w:rsidR="00556588" w:rsidRPr="00556588" w:rsidRDefault="00556588" w:rsidP="00556588">
      <w:pPr>
        <w:spacing w:after="0" w:line="240" w:lineRule="auto"/>
        <w:jc w:val="both"/>
        <w:rPr>
          <w:rFonts w:asciiTheme="minorBidi" w:hAnsiTheme="minorBidi" w:cstheme="minorBidi"/>
          <w:sz w:val="24"/>
          <w:szCs w:val="24"/>
        </w:rPr>
      </w:pPr>
    </w:p>
    <w:p w14:paraId="3F66B132" w14:textId="77777777"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2E5F9E"/>
          <w:sz w:val="28"/>
          <w:szCs w:val="28"/>
        </w:rPr>
        <w:t>5.4 Report Writing and Dissemination</w:t>
      </w:r>
    </w:p>
    <w:p w14:paraId="61A89651"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 consultant will prepare a comprehensive research report detailing findings, conclusions, and evidence-based policy recommendations. The report will be produced in both English and Somali. Findings will be formally presented to MOECHE officials, Federal Member State education authorities, and education partners at a National Dissemination Event.</w:t>
      </w:r>
    </w:p>
    <w:p w14:paraId="1B9B8263" w14:textId="77777777" w:rsidR="00556588" w:rsidRPr="00556588" w:rsidRDefault="00556588" w:rsidP="00556588">
      <w:pPr>
        <w:spacing w:after="0" w:line="240" w:lineRule="auto"/>
        <w:jc w:val="both"/>
        <w:rPr>
          <w:rFonts w:asciiTheme="minorBidi" w:hAnsiTheme="minorBidi" w:cstheme="minorBidi"/>
          <w:sz w:val="24"/>
          <w:szCs w:val="24"/>
        </w:rPr>
      </w:pPr>
    </w:p>
    <w:p w14:paraId="04C6D4E2" w14:textId="4F6332FA"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1A3A6B"/>
          <w:sz w:val="28"/>
          <w:szCs w:val="28"/>
        </w:rPr>
        <w:t>6. Minimum Sample Targets</w:t>
      </w:r>
    </w:p>
    <w:p w14:paraId="5AE18731"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following minimum sample sizes are required to ensure statistical validity and analytical </w:t>
      </w:r>
      <w:proofErr w:type="spellStart"/>
      <w:r w:rsidRPr="00556588">
        <w:rPr>
          <w:rFonts w:asciiTheme="minorBidi" w:hAnsiTheme="minorBidi" w:cstheme="minorBidi"/>
          <w:sz w:val="24"/>
          <w:szCs w:val="24"/>
        </w:rPr>
        <w:t>rigour</w:t>
      </w:r>
      <w:proofErr w:type="spellEnd"/>
      <w:r w:rsidRPr="00556588">
        <w:rPr>
          <w:rFonts w:asciiTheme="minorBidi" w:hAnsiTheme="minorBidi" w:cstheme="minorBidi"/>
          <w:sz w:val="24"/>
          <w:szCs w:val="24"/>
        </w:rPr>
        <w:t>:</w:t>
      </w:r>
    </w:p>
    <w:p w14:paraId="190C3945"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800 primary students (Grades 2–5) assessed for learning outcomes</w:t>
      </w:r>
    </w:p>
    <w:p w14:paraId="04FDD713"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300 secondary students (Grades 9–12) assessed</w:t>
      </w:r>
    </w:p>
    <w:p w14:paraId="1BF1F0FC"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300–400 teachers surveyed across all study sites</w:t>
      </w:r>
    </w:p>
    <w:p w14:paraId="2BB6C632" w14:textId="77777777" w:rsidR="00556588" w:rsidRPr="00556588" w:rsidRDefault="00556588" w:rsidP="00556588">
      <w:pPr>
        <w:pStyle w:val="ListParagraph"/>
        <w:numPr>
          <w:ilvl w:val="0"/>
          <w:numId w:val="15"/>
        </w:numPr>
        <w:contextualSpacing w:val="0"/>
        <w:jc w:val="both"/>
        <w:rPr>
          <w:rFonts w:asciiTheme="minorBidi" w:hAnsiTheme="minorBidi" w:cstheme="minorBidi"/>
        </w:rPr>
      </w:pPr>
      <w:r w:rsidRPr="00556588">
        <w:rPr>
          <w:rFonts w:asciiTheme="minorBidi" w:hAnsiTheme="minorBidi" w:cstheme="minorBidi"/>
        </w:rPr>
        <w:t>All data disaggregated by sex, disability status, IDP/non-IDP status, and urban/rural location</w:t>
      </w:r>
    </w:p>
    <w:p w14:paraId="1DDE2D0E"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The sample numbers above are totals across all Federal Member States combined. The final sampling framework, including the allocation per FMS, will be detailed in the Inception Report and approved by MOECHE and SCI prior to data collection.</w:t>
      </w:r>
    </w:p>
    <w:p w14:paraId="6F733119" w14:textId="77777777" w:rsidR="00556588" w:rsidRPr="00556588" w:rsidRDefault="00556588" w:rsidP="00556588">
      <w:pPr>
        <w:spacing w:after="0" w:line="240" w:lineRule="auto"/>
        <w:jc w:val="both"/>
        <w:rPr>
          <w:rFonts w:asciiTheme="minorBidi" w:hAnsiTheme="minorBidi" w:cstheme="minorBidi"/>
          <w:sz w:val="24"/>
          <w:szCs w:val="24"/>
        </w:rPr>
      </w:pPr>
    </w:p>
    <w:p w14:paraId="06C40E1A" w14:textId="61FD5999"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1A3A6B"/>
          <w:sz w:val="28"/>
          <w:szCs w:val="28"/>
        </w:rPr>
        <w:t>7. Deliverables and Timeline</w:t>
      </w:r>
    </w:p>
    <w:p w14:paraId="68347815"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The following deliverables and payment milestones govern the study. Specific dates will be agreed upon and inserted following the contracting process. Note that the Knowledge Translation Package (D16) is to be </w:t>
      </w:r>
      <w:proofErr w:type="spellStart"/>
      <w:r w:rsidRPr="00556588">
        <w:rPr>
          <w:rFonts w:asciiTheme="minorBidi" w:hAnsiTheme="minorBidi" w:cstheme="minorBidi"/>
          <w:sz w:val="24"/>
          <w:szCs w:val="24"/>
        </w:rPr>
        <w:t>finalised</w:t>
      </w:r>
      <w:proofErr w:type="spellEnd"/>
      <w:r w:rsidRPr="00556588">
        <w:rPr>
          <w:rFonts w:asciiTheme="minorBidi" w:hAnsiTheme="minorBidi" w:cstheme="minorBidi"/>
          <w:sz w:val="24"/>
          <w:szCs w:val="24"/>
        </w:rPr>
        <w:t xml:space="preserve"> prior to the National Dissemination Event to ensure materials are available for dissemination.</w:t>
      </w:r>
    </w:p>
    <w:tbl>
      <w:tblPr>
        <w:tblStyle w:val="TableGrid"/>
        <w:tblW w:w="9625" w:type="dxa"/>
        <w:tblLook w:val="0000" w:firstRow="0" w:lastRow="0" w:firstColumn="0" w:lastColumn="0" w:noHBand="0" w:noVBand="0"/>
      </w:tblPr>
      <w:tblGrid>
        <w:gridCol w:w="800"/>
        <w:gridCol w:w="5200"/>
        <w:gridCol w:w="1800"/>
        <w:gridCol w:w="1825"/>
      </w:tblGrid>
      <w:tr w:rsidR="00556588" w:rsidRPr="00556588" w14:paraId="6313ECF1" w14:textId="77777777" w:rsidTr="00BD3F71">
        <w:tc>
          <w:tcPr>
            <w:tcW w:w="800" w:type="dxa"/>
            <w:shd w:val="clear" w:color="auto" w:fill="657C9C" w:themeFill="text2" w:themeFillTint="BF"/>
          </w:tcPr>
          <w:p w14:paraId="3FEFBAE9"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b/>
                <w:bCs/>
                <w:color w:val="FFFFFF"/>
                <w:sz w:val="24"/>
                <w:szCs w:val="24"/>
              </w:rPr>
              <w:t>Ref</w:t>
            </w:r>
          </w:p>
        </w:tc>
        <w:tc>
          <w:tcPr>
            <w:tcW w:w="5200" w:type="dxa"/>
            <w:shd w:val="clear" w:color="auto" w:fill="657C9C" w:themeFill="text2" w:themeFillTint="BF"/>
          </w:tcPr>
          <w:p w14:paraId="6AE24B18"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b/>
                <w:bCs/>
                <w:color w:val="FFFFFF"/>
                <w:sz w:val="24"/>
                <w:szCs w:val="24"/>
              </w:rPr>
              <w:t>Deliverable</w:t>
            </w:r>
          </w:p>
        </w:tc>
        <w:tc>
          <w:tcPr>
            <w:tcW w:w="1800" w:type="dxa"/>
            <w:shd w:val="clear" w:color="auto" w:fill="657C9C" w:themeFill="text2" w:themeFillTint="BF"/>
          </w:tcPr>
          <w:p w14:paraId="0667B861"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b/>
                <w:bCs/>
                <w:color w:val="FFFFFF"/>
                <w:sz w:val="24"/>
                <w:szCs w:val="24"/>
              </w:rPr>
              <w:t>Responsible</w:t>
            </w:r>
          </w:p>
        </w:tc>
        <w:tc>
          <w:tcPr>
            <w:tcW w:w="1825" w:type="dxa"/>
            <w:shd w:val="clear" w:color="auto" w:fill="657C9C" w:themeFill="text2" w:themeFillTint="BF"/>
          </w:tcPr>
          <w:p w14:paraId="54192100"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b/>
                <w:bCs/>
                <w:color w:val="FFFFFF"/>
                <w:sz w:val="24"/>
                <w:szCs w:val="24"/>
              </w:rPr>
              <w:t>Timeline</w:t>
            </w:r>
          </w:p>
        </w:tc>
      </w:tr>
      <w:tr w:rsidR="00556588" w:rsidRPr="00556588" w14:paraId="3378D773" w14:textId="77777777" w:rsidTr="00BD3F71">
        <w:tc>
          <w:tcPr>
            <w:tcW w:w="800" w:type="dxa"/>
          </w:tcPr>
          <w:p w14:paraId="0E75C1A1"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D2</w:t>
            </w:r>
          </w:p>
        </w:tc>
        <w:tc>
          <w:tcPr>
            <w:tcW w:w="5200" w:type="dxa"/>
          </w:tcPr>
          <w:p w14:paraId="5691FC6D"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Inception Report (study design, sampling, tools, workplan, ethics)</w:t>
            </w:r>
          </w:p>
        </w:tc>
        <w:tc>
          <w:tcPr>
            <w:tcW w:w="1800" w:type="dxa"/>
          </w:tcPr>
          <w:p w14:paraId="398DD19E"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w:t>
            </w:r>
          </w:p>
        </w:tc>
        <w:tc>
          <w:tcPr>
            <w:tcW w:w="1825" w:type="dxa"/>
          </w:tcPr>
          <w:p w14:paraId="10AF6315"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418DCE93" w14:textId="77777777" w:rsidTr="00BD3F71">
        <w:tc>
          <w:tcPr>
            <w:tcW w:w="800" w:type="dxa"/>
          </w:tcPr>
          <w:p w14:paraId="3DEE20CF"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D3</w:t>
            </w:r>
          </w:p>
        </w:tc>
        <w:tc>
          <w:tcPr>
            <w:tcW w:w="5200" w:type="dxa"/>
          </w:tcPr>
          <w:p w14:paraId="736D6A5B"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Inception Report approved by MOECHE &amp; SCI — 1st payment milestone</w:t>
            </w:r>
          </w:p>
        </w:tc>
        <w:tc>
          <w:tcPr>
            <w:tcW w:w="1800" w:type="dxa"/>
          </w:tcPr>
          <w:p w14:paraId="47961800"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MOECHE / SCI</w:t>
            </w:r>
          </w:p>
        </w:tc>
        <w:tc>
          <w:tcPr>
            <w:tcW w:w="1825" w:type="dxa"/>
          </w:tcPr>
          <w:p w14:paraId="6423840D"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7B96B9B0" w14:textId="77777777" w:rsidTr="00BD3F71">
        <w:tc>
          <w:tcPr>
            <w:tcW w:w="800" w:type="dxa"/>
          </w:tcPr>
          <w:p w14:paraId="783AADCC"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D5</w:t>
            </w:r>
          </w:p>
        </w:tc>
        <w:tc>
          <w:tcPr>
            <w:tcW w:w="5200" w:type="dxa"/>
          </w:tcPr>
          <w:p w14:paraId="7E2A677D"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Final data collection tools approved (Somali and English versions)</w:t>
            </w:r>
          </w:p>
        </w:tc>
        <w:tc>
          <w:tcPr>
            <w:tcW w:w="1800" w:type="dxa"/>
          </w:tcPr>
          <w:p w14:paraId="3BD11455"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w:t>
            </w:r>
          </w:p>
        </w:tc>
        <w:tc>
          <w:tcPr>
            <w:tcW w:w="1825" w:type="dxa"/>
          </w:tcPr>
          <w:p w14:paraId="5F05C656"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33F30A7B" w14:textId="77777777" w:rsidTr="00BD3F71">
        <w:tc>
          <w:tcPr>
            <w:tcW w:w="800" w:type="dxa"/>
          </w:tcPr>
          <w:p w14:paraId="605E9D15"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D7–8</w:t>
            </w:r>
          </w:p>
        </w:tc>
        <w:tc>
          <w:tcPr>
            <w:tcW w:w="5200" w:type="dxa"/>
          </w:tcPr>
          <w:p w14:paraId="28BD0A1E"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Primary data collection across all Federal Member States and university sites</w:t>
            </w:r>
          </w:p>
        </w:tc>
        <w:tc>
          <w:tcPr>
            <w:tcW w:w="1800" w:type="dxa"/>
          </w:tcPr>
          <w:p w14:paraId="7739F26B"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w:t>
            </w:r>
          </w:p>
        </w:tc>
        <w:tc>
          <w:tcPr>
            <w:tcW w:w="1825" w:type="dxa"/>
          </w:tcPr>
          <w:p w14:paraId="0515E4B1"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662C5A5A" w14:textId="77777777" w:rsidTr="00BD3F71">
        <w:tc>
          <w:tcPr>
            <w:tcW w:w="800" w:type="dxa"/>
          </w:tcPr>
          <w:p w14:paraId="0DE5E2A9"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lastRenderedPageBreak/>
              <w:t>D9</w:t>
            </w:r>
          </w:p>
        </w:tc>
        <w:tc>
          <w:tcPr>
            <w:tcW w:w="5200" w:type="dxa"/>
          </w:tcPr>
          <w:p w14:paraId="473515EE"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Cleaned dataset and transcripts submitted </w:t>
            </w:r>
          </w:p>
        </w:tc>
        <w:tc>
          <w:tcPr>
            <w:tcW w:w="1800" w:type="dxa"/>
          </w:tcPr>
          <w:p w14:paraId="5A972F90"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 / SCI</w:t>
            </w:r>
          </w:p>
        </w:tc>
        <w:tc>
          <w:tcPr>
            <w:tcW w:w="1825" w:type="dxa"/>
          </w:tcPr>
          <w:p w14:paraId="75089AED"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210118CC" w14:textId="77777777" w:rsidTr="00BD3F71">
        <w:tc>
          <w:tcPr>
            <w:tcW w:w="800" w:type="dxa"/>
          </w:tcPr>
          <w:p w14:paraId="4E930A08"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D11</w:t>
            </w:r>
          </w:p>
        </w:tc>
        <w:tc>
          <w:tcPr>
            <w:tcW w:w="5200" w:type="dxa"/>
          </w:tcPr>
          <w:p w14:paraId="79F4BEDA"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 xml:space="preserve">Draft Final Report (English and Somali) — 2nd payment milestone </w:t>
            </w:r>
          </w:p>
        </w:tc>
        <w:tc>
          <w:tcPr>
            <w:tcW w:w="1800" w:type="dxa"/>
          </w:tcPr>
          <w:p w14:paraId="3D4AAB41"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w:t>
            </w:r>
          </w:p>
        </w:tc>
        <w:tc>
          <w:tcPr>
            <w:tcW w:w="1825" w:type="dxa"/>
          </w:tcPr>
          <w:p w14:paraId="7498B267"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66DE913B" w14:textId="77777777" w:rsidTr="00BD3F71">
        <w:tc>
          <w:tcPr>
            <w:tcW w:w="800" w:type="dxa"/>
          </w:tcPr>
          <w:p w14:paraId="42211BDB"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D12</w:t>
            </w:r>
          </w:p>
        </w:tc>
        <w:tc>
          <w:tcPr>
            <w:tcW w:w="5200" w:type="dxa"/>
          </w:tcPr>
          <w:p w14:paraId="0B3680EC"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Stakeholder Validation Workshop</w:t>
            </w:r>
          </w:p>
        </w:tc>
        <w:tc>
          <w:tcPr>
            <w:tcW w:w="1800" w:type="dxa"/>
          </w:tcPr>
          <w:p w14:paraId="44FC817A"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MOECHE / SCI</w:t>
            </w:r>
          </w:p>
        </w:tc>
        <w:tc>
          <w:tcPr>
            <w:tcW w:w="1825" w:type="dxa"/>
          </w:tcPr>
          <w:p w14:paraId="25FFF173"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219BE6FC" w14:textId="77777777" w:rsidTr="00BD3F71">
        <w:tc>
          <w:tcPr>
            <w:tcW w:w="800" w:type="dxa"/>
          </w:tcPr>
          <w:p w14:paraId="03767714"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D16</w:t>
            </w:r>
          </w:p>
        </w:tc>
        <w:tc>
          <w:tcPr>
            <w:tcW w:w="5200" w:type="dxa"/>
          </w:tcPr>
          <w:p w14:paraId="72C2EA4B"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Knowledge Translation Package (policy brief, presentation, community summary)</w:t>
            </w:r>
          </w:p>
        </w:tc>
        <w:tc>
          <w:tcPr>
            <w:tcW w:w="1800" w:type="dxa"/>
          </w:tcPr>
          <w:p w14:paraId="3AA329A5"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w:t>
            </w:r>
          </w:p>
        </w:tc>
        <w:tc>
          <w:tcPr>
            <w:tcW w:w="1825" w:type="dxa"/>
          </w:tcPr>
          <w:p w14:paraId="20817616"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5B974E37" w14:textId="77777777" w:rsidTr="00BD3F71">
        <w:tc>
          <w:tcPr>
            <w:tcW w:w="800" w:type="dxa"/>
          </w:tcPr>
          <w:p w14:paraId="74F925D7"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D14</w:t>
            </w:r>
          </w:p>
        </w:tc>
        <w:tc>
          <w:tcPr>
            <w:tcW w:w="5200" w:type="dxa"/>
          </w:tcPr>
          <w:p w14:paraId="152D9036"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Final Report approved by MOECHE — 3rd payment milestone</w:t>
            </w:r>
          </w:p>
        </w:tc>
        <w:tc>
          <w:tcPr>
            <w:tcW w:w="1800" w:type="dxa"/>
          </w:tcPr>
          <w:p w14:paraId="100218B3"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Study Team / MOECHE</w:t>
            </w:r>
          </w:p>
        </w:tc>
        <w:tc>
          <w:tcPr>
            <w:tcW w:w="1825" w:type="dxa"/>
          </w:tcPr>
          <w:p w14:paraId="3B7A3D88" w14:textId="77777777" w:rsidR="00556588" w:rsidRPr="00556588" w:rsidRDefault="00556588" w:rsidP="00556588">
            <w:pPr>
              <w:spacing w:after="0" w:line="240" w:lineRule="auto"/>
              <w:jc w:val="both"/>
              <w:rPr>
                <w:rFonts w:asciiTheme="minorBidi" w:hAnsiTheme="minorBidi" w:cstheme="minorBidi"/>
                <w:sz w:val="24"/>
                <w:szCs w:val="24"/>
              </w:rPr>
            </w:pPr>
          </w:p>
        </w:tc>
      </w:tr>
      <w:tr w:rsidR="00556588" w:rsidRPr="00556588" w14:paraId="528330D6" w14:textId="77777777" w:rsidTr="00BD3F71">
        <w:tc>
          <w:tcPr>
            <w:tcW w:w="800" w:type="dxa"/>
          </w:tcPr>
          <w:p w14:paraId="56A07C94"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D17</w:t>
            </w:r>
          </w:p>
        </w:tc>
        <w:tc>
          <w:tcPr>
            <w:tcW w:w="5200" w:type="dxa"/>
          </w:tcPr>
          <w:p w14:paraId="65D8297B"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National Dissemination Event</w:t>
            </w:r>
          </w:p>
        </w:tc>
        <w:tc>
          <w:tcPr>
            <w:tcW w:w="1800" w:type="dxa"/>
          </w:tcPr>
          <w:p w14:paraId="30BC4D38"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MOECHE / SCI</w:t>
            </w:r>
          </w:p>
        </w:tc>
        <w:tc>
          <w:tcPr>
            <w:tcW w:w="1825" w:type="dxa"/>
          </w:tcPr>
          <w:p w14:paraId="42EB28A6"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TBD</w:t>
            </w:r>
          </w:p>
        </w:tc>
      </w:tr>
    </w:tbl>
    <w:p w14:paraId="0DF554FE" w14:textId="77777777" w:rsidR="00556588" w:rsidRPr="00556588" w:rsidRDefault="00556588" w:rsidP="00556588">
      <w:pPr>
        <w:spacing w:after="0" w:line="240" w:lineRule="auto"/>
        <w:jc w:val="both"/>
        <w:rPr>
          <w:rFonts w:asciiTheme="minorBidi" w:hAnsiTheme="minorBidi" w:cstheme="minorBidi"/>
          <w:sz w:val="24"/>
          <w:szCs w:val="24"/>
        </w:rPr>
      </w:pPr>
    </w:p>
    <w:p w14:paraId="17CA402F" w14:textId="77777777"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1A3A6B"/>
          <w:sz w:val="28"/>
          <w:szCs w:val="28"/>
        </w:rPr>
        <w:t>8. Roles and Responsibilities</w:t>
      </w:r>
    </w:p>
    <w:p w14:paraId="450D0F7C" w14:textId="77777777" w:rsidR="00556588" w:rsidRPr="00556588" w:rsidRDefault="00556588" w:rsidP="00556588">
      <w:pPr>
        <w:pBdr>
          <w:bottom w:val="single" w:sz="6" w:space="0" w:color="4B87CD"/>
        </w:pBdr>
        <w:spacing w:after="0" w:line="240" w:lineRule="auto"/>
        <w:jc w:val="both"/>
        <w:rPr>
          <w:rFonts w:asciiTheme="minorBidi" w:hAnsiTheme="minorBidi" w:cstheme="minorBidi"/>
          <w:sz w:val="28"/>
          <w:szCs w:val="28"/>
        </w:rPr>
      </w:pPr>
    </w:p>
    <w:p w14:paraId="2B52FDDF" w14:textId="77777777"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2E5F9E"/>
          <w:sz w:val="28"/>
          <w:szCs w:val="28"/>
        </w:rPr>
        <w:t>8.1 Ministry of Education, Culture and Higher Education (MOECHE)</w:t>
      </w:r>
    </w:p>
    <w:p w14:paraId="29E22A2E"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Commission the study as primary authority and programme owner; co-own and approve the study design at the Inception Workshop.</w:t>
      </w:r>
    </w:p>
    <w:p w14:paraId="6478FC34"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Provide access to national policy documents, EMIS data, and the National Curriculum Framework.</w:t>
      </w:r>
    </w:p>
    <w:p w14:paraId="10703A66"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Facilitate introductions to FMS Ministries of Education and key stakeholders.</w:t>
      </w:r>
    </w:p>
    <w:p w14:paraId="3C7D16EC"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Facilitate FMS Ministry of Education and school cooperation for field data collection.</w:t>
      </w:r>
    </w:p>
    <w:p w14:paraId="25E53A98"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Designate a MOECHE focal point as the primary institutional counterpart throughout the study.</w:t>
      </w:r>
    </w:p>
    <w:p w14:paraId="6605B168"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Review major deliverables (Inception Report, Draft Report, and Final Report) within seven working days of receipt from SCI.</w:t>
      </w:r>
    </w:p>
    <w:p w14:paraId="0373DAF8"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Formally approve the Inception Report and Final Report.</w:t>
      </w:r>
    </w:p>
    <w:p w14:paraId="0EA41D0F"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Chair the Programme Steering Committee and lead the National Dissemination Event.</w:t>
      </w:r>
    </w:p>
    <w:p w14:paraId="48FB8E6F"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Ensure study findings are integrated into language-in-education policy reform, curriculum development, and teacher training design.</w:t>
      </w:r>
    </w:p>
    <w:p w14:paraId="759404D3" w14:textId="77777777" w:rsidR="00556588" w:rsidRPr="00556588" w:rsidRDefault="00556588" w:rsidP="00556588">
      <w:pPr>
        <w:spacing w:after="0" w:line="240" w:lineRule="auto"/>
        <w:jc w:val="both"/>
        <w:rPr>
          <w:rFonts w:asciiTheme="minorBidi" w:hAnsiTheme="minorBidi" w:cstheme="minorBidi"/>
          <w:sz w:val="24"/>
          <w:szCs w:val="24"/>
        </w:rPr>
      </w:pPr>
    </w:p>
    <w:p w14:paraId="4A89FDF3" w14:textId="77777777"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2E5F9E"/>
          <w:sz w:val="28"/>
          <w:szCs w:val="28"/>
        </w:rPr>
        <w:t>8.2 Save the Children International (SCI)</w:t>
      </w:r>
    </w:p>
    <w:p w14:paraId="2AE03150"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Manage procurement, oversight, financial management, and quality assurance throughout the study.</w:t>
      </w:r>
    </w:p>
    <w:p w14:paraId="75D0A253"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Provide access to programme documents, monitoring data, and security protocols.</w:t>
      </w:r>
    </w:p>
    <w:p w14:paraId="5FF0494E"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Provide written feedback on all deliverables within seven working days of receipt.</w:t>
      </w:r>
    </w:p>
    <w:p w14:paraId="2039189E"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Coordinate logistics for the Inception Workshop, Validation Workshop, and Dissemination Event.</w:t>
      </w:r>
    </w:p>
    <w:p w14:paraId="497232B9"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rPr>
        <w:t>Process payments upon written approval of each payment milestone from MOECHE.</w:t>
      </w:r>
    </w:p>
    <w:p w14:paraId="3D10CE6E" w14:textId="77777777" w:rsidR="00556588" w:rsidRPr="00556588" w:rsidRDefault="00556588" w:rsidP="00556588">
      <w:pPr>
        <w:spacing w:after="0" w:line="240" w:lineRule="auto"/>
        <w:jc w:val="both"/>
        <w:rPr>
          <w:rFonts w:asciiTheme="minorBidi" w:hAnsiTheme="minorBidi" w:cstheme="minorBidi"/>
          <w:sz w:val="24"/>
          <w:szCs w:val="24"/>
        </w:rPr>
      </w:pPr>
    </w:p>
    <w:p w14:paraId="48CC2907" w14:textId="77777777" w:rsidR="00556588" w:rsidRPr="00556588" w:rsidRDefault="00556588" w:rsidP="00556588">
      <w:pPr>
        <w:spacing w:after="0" w:line="240" w:lineRule="auto"/>
        <w:jc w:val="both"/>
        <w:rPr>
          <w:rFonts w:asciiTheme="minorBidi" w:hAnsiTheme="minorBidi" w:cstheme="minorBidi"/>
          <w:sz w:val="28"/>
          <w:szCs w:val="28"/>
        </w:rPr>
      </w:pPr>
      <w:r w:rsidRPr="00556588">
        <w:rPr>
          <w:rFonts w:asciiTheme="minorBidi" w:hAnsiTheme="minorBidi" w:cstheme="minorBidi"/>
          <w:b/>
          <w:bCs/>
          <w:color w:val="1A3A6B"/>
          <w:sz w:val="28"/>
          <w:szCs w:val="28"/>
        </w:rPr>
        <w:t>9. Consultant Qualifications</w:t>
      </w:r>
    </w:p>
    <w:p w14:paraId="5B4ECDEE" w14:textId="77777777" w:rsidR="00556588" w:rsidRPr="00556588" w:rsidRDefault="00556588" w:rsidP="00556588">
      <w:pPr>
        <w:pBdr>
          <w:bottom w:val="single" w:sz="6" w:space="0" w:color="4B87CD"/>
        </w:pBdr>
        <w:spacing w:after="0" w:line="240" w:lineRule="auto"/>
        <w:jc w:val="both"/>
        <w:rPr>
          <w:rFonts w:asciiTheme="minorBidi" w:hAnsiTheme="minorBidi" w:cstheme="minorBidi"/>
          <w:sz w:val="24"/>
          <w:szCs w:val="24"/>
        </w:rPr>
      </w:pPr>
    </w:p>
    <w:p w14:paraId="793EFBE0" w14:textId="77777777" w:rsidR="00556588" w:rsidRPr="00556588" w:rsidRDefault="00556588" w:rsidP="00556588">
      <w:pPr>
        <w:spacing w:after="0" w:line="240" w:lineRule="auto"/>
        <w:jc w:val="both"/>
        <w:rPr>
          <w:rFonts w:asciiTheme="minorBidi" w:hAnsiTheme="minorBidi" w:cstheme="minorBidi"/>
          <w:sz w:val="24"/>
          <w:szCs w:val="24"/>
        </w:rPr>
      </w:pPr>
      <w:r w:rsidRPr="00556588">
        <w:rPr>
          <w:rFonts w:asciiTheme="minorBidi" w:hAnsiTheme="minorBidi" w:cstheme="minorBidi"/>
          <w:sz w:val="24"/>
          <w:szCs w:val="24"/>
        </w:rPr>
        <w:t>Applicants must demonstrate the following qualifications and experience:</w:t>
      </w:r>
    </w:p>
    <w:p w14:paraId="0051A71B"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b/>
          <w:bCs/>
        </w:rPr>
        <w:t>Education:</w:t>
      </w:r>
      <w:r w:rsidRPr="00556588">
        <w:rPr>
          <w:rFonts w:asciiTheme="minorBidi" w:hAnsiTheme="minorBidi" w:cstheme="minorBidi"/>
        </w:rPr>
        <w:t xml:space="preserve"> Advanced degree (</w:t>
      </w:r>
      <w:proofErr w:type="gramStart"/>
      <w:r w:rsidRPr="00556588">
        <w:rPr>
          <w:rFonts w:asciiTheme="minorBidi" w:hAnsiTheme="minorBidi" w:cstheme="minorBidi"/>
        </w:rPr>
        <w:t>Master's</w:t>
      </w:r>
      <w:proofErr w:type="gramEnd"/>
      <w:r w:rsidRPr="00556588">
        <w:rPr>
          <w:rFonts w:asciiTheme="minorBidi" w:hAnsiTheme="minorBidi" w:cstheme="minorBidi"/>
        </w:rPr>
        <w:t xml:space="preserve"> or PhD) in Education, Linguistics, Social Sciences, or a related field.</w:t>
      </w:r>
    </w:p>
    <w:p w14:paraId="57846B7B"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b/>
          <w:bCs/>
        </w:rPr>
        <w:t>Experience:</w:t>
      </w:r>
      <w:r w:rsidRPr="00556588">
        <w:rPr>
          <w:rFonts w:asciiTheme="minorBidi" w:hAnsiTheme="minorBidi" w:cstheme="minorBidi"/>
        </w:rPr>
        <w:t xml:space="preserve"> Minimum of 7–10 years of proven experience in conducting educational research, particularly in language of instruction, bilingual education, or academic performance studies.</w:t>
      </w:r>
    </w:p>
    <w:p w14:paraId="0E1C4221"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b/>
          <w:bCs/>
        </w:rPr>
        <w:lastRenderedPageBreak/>
        <w:t>Regional Expertise:</w:t>
      </w:r>
      <w:r w:rsidRPr="00556588">
        <w:rPr>
          <w:rFonts w:asciiTheme="minorBidi" w:hAnsiTheme="minorBidi" w:cstheme="minorBidi"/>
        </w:rPr>
        <w:t xml:space="preserve"> Demonstrated understanding of the Somali educational context, cultural nuances, and linguistic landscape.</w:t>
      </w:r>
    </w:p>
    <w:p w14:paraId="6D2191D3"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b/>
          <w:bCs/>
        </w:rPr>
        <w:t>Methodological Skills:</w:t>
      </w:r>
      <w:r w:rsidRPr="00556588">
        <w:rPr>
          <w:rFonts w:asciiTheme="minorBidi" w:hAnsiTheme="minorBidi" w:cstheme="minorBidi"/>
        </w:rPr>
        <w:t xml:space="preserve"> Strong expertise in both quantitative and qualitative research methodologies, including statistical analysis and qualitative data interpretation.</w:t>
      </w:r>
    </w:p>
    <w:p w14:paraId="3BE44171" w14:textId="77777777"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b/>
          <w:bCs/>
        </w:rPr>
        <w:t>Language Proficiency:</w:t>
      </w:r>
      <w:r w:rsidRPr="00556588">
        <w:rPr>
          <w:rFonts w:asciiTheme="minorBidi" w:hAnsiTheme="minorBidi" w:cstheme="minorBidi"/>
        </w:rPr>
        <w:t xml:space="preserve"> Fluency in both Somali and English (written and spoken) is essential. Knowledge of Arabic will be an added advantage.</w:t>
      </w:r>
    </w:p>
    <w:p w14:paraId="673E4C05" w14:textId="2D4BDC29" w:rsidR="00556588" w:rsidRPr="00556588" w:rsidRDefault="00556588" w:rsidP="00556588">
      <w:pPr>
        <w:pStyle w:val="ListParagraph"/>
        <w:numPr>
          <w:ilvl w:val="0"/>
          <w:numId w:val="15"/>
        </w:numPr>
        <w:ind w:left="720"/>
        <w:contextualSpacing w:val="0"/>
        <w:jc w:val="both"/>
        <w:rPr>
          <w:rFonts w:asciiTheme="minorBidi" w:hAnsiTheme="minorBidi" w:cstheme="minorBidi"/>
        </w:rPr>
      </w:pPr>
      <w:r w:rsidRPr="00556588">
        <w:rPr>
          <w:rFonts w:asciiTheme="minorBidi" w:hAnsiTheme="minorBidi" w:cstheme="minorBidi"/>
          <w:b/>
          <w:bCs/>
        </w:rPr>
        <w:t>Communication Skills:</w:t>
      </w:r>
      <w:r w:rsidRPr="00556588">
        <w:rPr>
          <w:rFonts w:asciiTheme="minorBidi" w:hAnsiTheme="minorBidi" w:cstheme="minorBidi"/>
        </w:rPr>
        <w:t xml:space="preserve"> Excellent report writing, presentation, and interpersonal communication skills.</w:t>
      </w:r>
    </w:p>
    <w:p w14:paraId="0678DEB9" w14:textId="77777777" w:rsidR="004D291B" w:rsidRPr="00556588" w:rsidRDefault="004D291B" w:rsidP="00556588">
      <w:pPr>
        <w:spacing w:after="0" w:line="240" w:lineRule="auto"/>
        <w:jc w:val="both"/>
        <w:rPr>
          <w:rFonts w:ascii="Arial" w:eastAsia="SimSun" w:hAnsi="Arial" w:cs="Arial"/>
          <w:sz w:val="24"/>
          <w:szCs w:val="24"/>
          <w:lang w:eastAsia="zh-CN"/>
        </w:rPr>
      </w:pPr>
    </w:p>
    <w:bookmarkEnd w:id="1"/>
    <w:p w14:paraId="3D520BED" w14:textId="329176E9" w:rsidR="00EF32D9" w:rsidRPr="00556588" w:rsidRDefault="00EF32D9" w:rsidP="00556588">
      <w:pPr>
        <w:spacing w:after="0" w:line="240" w:lineRule="auto"/>
        <w:jc w:val="both"/>
        <w:rPr>
          <w:rFonts w:ascii="Arial" w:hAnsi="Arial" w:cs="Arial"/>
          <w:b/>
          <w:bCs/>
          <w:color w:val="1A3A6B"/>
          <w:sz w:val="28"/>
          <w:szCs w:val="28"/>
        </w:rPr>
      </w:pPr>
      <w:r w:rsidRPr="00556588">
        <w:rPr>
          <w:rFonts w:ascii="Arial" w:hAnsi="Arial" w:cs="Arial"/>
          <w:b/>
          <w:bCs/>
          <w:color w:val="1A3A6B"/>
          <w:sz w:val="28"/>
          <w:szCs w:val="28"/>
        </w:rPr>
        <w:t xml:space="preserve">10. Application Process and Timeline </w:t>
      </w:r>
    </w:p>
    <w:p w14:paraId="0FA05107" w14:textId="77777777" w:rsidR="00EF32D9" w:rsidRPr="00556588" w:rsidRDefault="00EF32D9" w:rsidP="00556588">
      <w:pPr>
        <w:spacing w:after="0" w:line="240" w:lineRule="auto"/>
        <w:jc w:val="both"/>
        <w:rPr>
          <w:rFonts w:ascii="Arial" w:eastAsia="SimSun" w:hAnsi="Arial" w:cs="Arial"/>
          <w:sz w:val="24"/>
          <w:szCs w:val="24"/>
          <w:lang w:val="en-GB" w:eastAsia="zh-CN"/>
        </w:rPr>
      </w:pPr>
      <w:r w:rsidRPr="00556588">
        <w:rPr>
          <w:rFonts w:ascii="Arial" w:eastAsia="SimSun" w:hAnsi="Arial" w:cs="Arial"/>
          <w:sz w:val="24"/>
          <w:szCs w:val="24"/>
          <w:lang w:val="en-GB" w:eastAsia="zh-CN"/>
        </w:rPr>
        <w:t xml:space="preserve">How to Apply </w:t>
      </w:r>
    </w:p>
    <w:p w14:paraId="1451296D" w14:textId="77777777" w:rsidR="00EF32D9" w:rsidRPr="00556588" w:rsidRDefault="00EF32D9" w:rsidP="00556588">
      <w:pPr>
        <w:spacing w:after="0" w:line="240" w:lineRule="auto"/>
        <w:jc w:val="both"/>
        <w:rPr>
          <w:rFonts w:ascii="Arial" w:eastAsia="SimSun" w:hAnsi="Arial" w:cs="Arial"/>
          <w:sz w:val="24"/>
          <w:szCs w:val="24"/>
          <w:lang w:val="en-GB" w:eastAsia="zh-CN"/>
        </w:rPr>
      </w:pPr>
      <w:r w:rsidRPr="00556588">
        <w:rPr>
          <w:rFonts w:ascii="Arial" w:eastAsia="SimSun" w:hAnsi="Arial" w:cs="Arial"/>
          <w:sz w:val="24"/>
          <w:szCs w:val="24"/>
          <w:lang w:val="en-GB" w:eastAsia="zh-CN"/>
        </w:rPr>
        <w:t xml:space="preserve">Interested consultants or consulting firms must submit an Expression of Interest (EOI) comprising a technical proposal (maximum 15 pages), a separate financial proposal, and supporting annexes. </w:t>
      </w:r>
    </w:p>
    <w:p w14:paraId="08AEF0B3" w14:textId="77777777" w:rsidR="00EF32D9" w:rsidRPr="00556588" w:rsidRDefault="00EF32D9" w:rsidP="00556588">
      <w:pPr>
        <w:spacing w:after="0" w:line="240" w:lineRule="auto"/>
        <w:jc w:val="both"/>
        <w:rPr>
          <w:rFonts w:ascii="Arial" w:eastAsia="SimSun" w:hAnsi="Arial" w:cs="Arial"/>
          <w:sz w:val="24"/>
          <w:szCs w:val="24"/>
          <w:lang w:val="en-GB" w:eastAsia="zh-CN"/>
        </w:rPr>
      </w:pPr>
      <w:r w:rsidRPr="00556588">
        <w:rPr>
          <w:rFonts w:ascii="Arial" w:eastAsia="SimSun" w:hAnsi="Arial" w:cs="Arial"/>
          <w:sz w:val="24"/>
          <w:szCs w:val="24"/>
          <w:lang w:val="en-GB" w:eastAsia="zh-CN"/>
        </w:rPr>
        <w:t xml:space="preserve">The technical proposal should include: </w:t>
      </w:r>
    </w:p>
    <w:p w14:paraId="3A54BC0C"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Cover letter </w:t>
      </w:r>
    </w:p>
    <w:p w14:paraId="5FBEFAF7" w14:textId="05262DD2"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Understanding of the Research objectives </w:t>
      </w:r>
    </w:p>
    <w:p w14:paraId="3CAEB112"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Detailed methodology </w:t>
      </w:r>
    </w:p>
    <w:p w14:paraId="14CBC321"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Team composition and qualifications </w:t>
      </w:r>
    </w:p>
    <w:p w14:paraId="68097651"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Workplan with timelines </w:t>
      </w:r>
    </w:p>
    <w:p w14:paraId="63663645" w14:textId="3FA8A71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Examples of previous work </w:t>
      </w:r>
    </w:p>
    <w:p w14:paraId="633CF14C" w14:textId="77777777" w:rsidR="00EF32D9" w:rsidRPr="00556588" w:rsidRDefault="00EF32D9" w:rsidP="00556588">
      <w:pPr>
        <w:spacing w:after="0" w:line="240" w:lineRule="auto"/>
        <w:jc w:val="both"/>
        <w:rPr>
          <w:rFonts w:ascii="Arial" w:eastAsia="SimSun" w:hAnsi="Arial" w:cs="Arial"/>
          <w:sz w:val="24"/>
          <w:szCs w:val="24"/>
          <w:lang w:val="en-GB" w:eastAsia="zh-CN"/>
        </w:rPr>
      </w:pPr>
      <w:r w:rsidRPr="00556588">
        <w:rPr>
          <w:rFonts w:ascii="Arial" w:eastAsia="SimSun" w:hAnsi="Arial" w:cs="Arial"/>
          <w:sz w:val="24"/>
          <w:szCs w:val="24"/>
          <w:lang w:val="en-GB" w:eastAsia="zh-CN"/>
        </w:rPr>
        <w:t xml:space="preserve">The financial proposal must include: </w:t>
      </w:r>
    </w:p>
    <w:p w14:paraId="3401D098"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Detailed, itemized budget with justifications </w:t>
      </w:r>
    </w:p>
    <w:p w14:paraId="1B0E5334" w14:textId="2350A62C"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Preferred payment schedule </w:t>
      </w:r>
    </w:p>
    <w:p w14:paraId="0F9AB87A" w14:textId="77777777" w:rsidR="00EF32D9" w:rsidRPr="00556588" w:rsidRDefault="00EF32D9" w:rsidP="00556588">
      <w:pPr>
        <w:spacing w:after="0" w:line="240" w:lineRule="auto"/>
        <w:jc w:val="both"/>
        <w:rPr>
          <w:rFonts w:ascii="Arial" w:eastAsia="SimSun" w:hAnsi="Arial" w:cs="Arial"/>
          <w:sz w:val="24"/>
          <w:szCs w:val="24"/>
          <w:lang w:val="en-GB" w:eastAsia="zh-CN"/>
        </w:rPr>
      </w:pPr>
      <w:r w:rsidRPr="00556588">
        <w:rPr>
          <w:rFonts w:ascii="Arial" w:eastAsia="SimSun" w:hAnsi="Arial" w:cs="Arial"/>
          <w:sz w:val="24"/>
          <w:szCs w:val="24"/>
          <w:lang w:val="en-GB" w:eastAsia="zh-CN"/>
        </w:rPr>
        <w:t xml:space="preserve">Annexes should include: </w:t>
      </w:r>
    </w:p>
    <w:p w14:paraId="3DA3D7D8"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CVs of team members </w:t>
      </w:r>
    </w:p>
    <w:p w14:paraId="519C43CC"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Academic certificates </w:t>
      </w:r>
    </w:p>
    <w:p w14:paraId="72E1CA24"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Professional references </w:t>
      </w:r>
    </w:p>
    <w:p w14:paraId="5B14A988" w14:textId="63FA1E58"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Sample Research reports </w:t>
      </w:r>
    </w:p>
    <w:p w14:paraId="42B8BA52"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Registration and tax documents </w:t>
      </w:r>
    </w:p>
    <w:p w14:paraId="75420F53" w14:textId="77777777"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Safeguarding policies </w:t>
      </w:r>
    </w:p>
    <w:p w14:paraId="38D1D34A" w14:textId="3914FD31" w:rsidR="00EF32D9" w:rsidRPr="00556588" w:rsidRDefault="00EF32D9" w:rsidP="00556588">
      <w:pPr>
        <w:pStyle w:val="ListParagraph"/>
        <w:numPr>
          <w:ilvl w:val="0"/>
          <w:numId w:val="15"/>
        </w:numPr>
        <w:contextualSpacing w:val="0"/>
        <w:jc w:val="both"/>
        <w:rPr>
          <w:rFonts w:ascii="Arial" w:hAnsi="Arial" w:cs="Arial"/>
        </w:rPr>
      </w:pPr>
      <w:r w:rsidRPr="00556588">
        <w:rPr>
          <w:rFonts w:ascii="Arial" w:hAnsi="Arial" w:cs="Arial"/>
        </w:rPr>
        <w:t xml:space="preserve">Signed statement confirming compliance with Save the Children’s safeguarding and PSEA policies, absence of conflicts of interest, and full team availability </w:t>
      </w:r>
    </w:p>
    <w:p w14:paraId="64A39B64" w14:textId="77777777" w:rsidR="00EF32D9" w:rsidRPr="00556588" w:rsidRDefault="00EF32D9" w:rsidP="00556588">
      <w:pPr>
        <w:spacing w:after="0" w:line="240" w:lineRule="auto"/>
        <w:jc w:val="both"/>
        <w:rPr>
          <w:rFonts w:ascii="Arial" w:eastAsia="SimSun" w:hAnsi="Arial" w:cs="Arial"/>
          <w:sz w:val="24"/>
          <w:szCs w:val="24"/>
          <w:lang w:val="en-GB" w:eastAsia="zh-CN"/>
        </w:rPr>
      </w:pPr>
    </w:p>
    <w:p w14:paraId="738D3F8A" w14:textId="77777777" w:rsidR="00EF32D9" w:rsidRPr="00556588" w:rsidRDefault="00EF32D9" w:rsidP="00556588">
      <w:pPr>
        <w:spacing w:after="0" w:line="240" w:lineRule="auto"/>
        <w:jc w:val="both"/>
        <w:rPr>
          <w:rFonts w:ascii="Arial" w:eastAsia="SimSun" w:hAnsi="Arial" w:cs="Arial"/>
          <w:b/>
          <w:bCs/>
          <w:sz w:val="24"/>
          <w:szCs w:val="24"/>
          <w:lang w:val="en-GB" w:eastAsia="zh-CN"/>
        </w:rPr>
      </w:pPr>
      <w:r w:rsidRPr="00556588">
        <w:rPr>
          <w:rFonts w:ascii="Arial" w:eastAsia="SimSun" w:hAnsi="Arial" w:cs="Arial"/>
          <w:b/>
          <w:bCs/>
          <w:sz w:val="24"/>
          <w:szCs w:val="24"/>
          <w:lang w:val="en-GB" w:eastAsia="zh-CN"/>
        </w:rPr>
        <w:t xml:space="preserve">Submission Instructions </w:t>
      </w:r>
    </w:p>
    <w:p w14:paraId="76FE144C" w14:textId="5D7F0786" w:rsidR="00EF32D9" w:rsidRPr="009812FF" w:rsidRDefault="00EF32D9" w:rsidP="009812FF">
      <w:pPr>
        <w:spacing w:after="0" w:line="240" w:lineRule="auto"/>
        <w:jc w:val="both"/>
        <w:rPr>
          <w:rFonts w:ascii="Arial" w:hAnsi="Arial" w:cs="Arial"/>
          <w:b/>
          <w:bCs/>
          <w:color w:val="000000" w:themeColor="text1"/>
          <w:sz w:val="28"/>
          <w:szCs w:val="28"/>
        </w:rPr>
      </w:pPr>
      <w:r w:rsidRPr="009812FF">
        <w:rPr>
          <w:rFonts w:ascii="Arial" w:eastAsia="SimSun" w:hAnsi="Arial" w:cs="Arial"/>
          <w:color w:val="000000" w:themeColor="text1"/>
          <w:sz w:val="24"/>
          <w:szCs w:val="24"/>
          <w:lang w:val="en-GB" w:eastAsia="zh-CN"/>
        </w:rPr>
        <w:t xml:space="preserve">Application Submission Address: </w:t>
      </w:r>
      <w:hyperlink r:id="rId18" w:history="1">
        <w:r w:rsidR="00A543BC" w:rsidRPr="009812FF">
          <w:rPr>
            <w:rStyle w:val="Hyperlink"/>
            <w:rFonts w:ascii="Arial" w:eastAsia="SimSun" w:hAnsi="Arial" w:cs="Arial"/>
            <w:color w:val="000000" w:themeColor="text1"/>
            <w:sz w:val="24"/>
            <w:szCs w:val="24"/>
            <w:lang w:val="en-GB" w:eastAsia="zh-CN"/>
          </w:rPr>
          <w:t>Somalia.GPEProcurement@savethechildren.org</w:t>
        </w:r>
      </w:hyperlink>
      <w:r w:rsidR="00A543BC" w:rsidRPr="009812FF">
        <w:rPr>
          <w:rFonts w:ascii="Arial" w:eastAsia="SimSun" w:hAnsi="Arial" w:cs="Arial"/>
          <w:color w:val="000000" w:themeColor="text1"/>
          <w:sz w:val="24"/>
          <w:szCs w:val="24"/>
          <w:lang w:val="en-GB" w:eastAsia="zh-CN"/>
        </w:rPr>
        <w:t xml:space="preserve"> </w:t>
      </w:r>
      <w:r w:rsidR="00AB6B0D" w:rsidRPr="009812FF">
        <w:rPr>
          <w:rFonts w:ascii="Arial" w:eastAsia="SimSun" w:hAnsi="Arial" w:cs="Arial"/>
          <w:color w:val="000000" w:themeColor="text1"/>
          <w:sz w:val="24"/>
          <w:szCs w:val="24"/>
          <w:lang w:val="en-GB" w:eastAsia="zh-CN"/>
        </w:rPr>
        <w:t>—</w:t>
      </w:r>
      <w:r w:rsidRPr="009812FF">
        <w:rPr>
          <w:rFonts w:ascii="Arial" w:eastAsia="SimSun" w:hAnsi="Arial" w:cs="Arial"/>
          <w:color w:val="000000" w:themeColor="text1"/>
          <w:sz w:val="24"/>
          <w:szCs w:val="24"/>
          <w:lang w:val="en-GB" w:eastAsia="zh-CN"/>
        </w:rPr>
        <w:t xml:space="preserve">indicating </w:t>
      </w:r>
      <w:r w:rsidRPr="009812FF">
        <w:rPr>
          <w:rFonts w:ascii="Arial" w:eastAsia="SimSun" w:hAnsi="Arial" w:cs="Arial"/>
          <w:sz w:val="24"/>
          <w:szCs w:val="24"/>
          <w:lang w:val="en-GB" w:eastAsia="zh-CN"/>
        </w:rPr>
        <w:t>“</w:t>
      </w:r>
      <w:r w:rsidR="009812FF" w:rsidRPr="009812FF">
        <w:rPr>
          <w:rFonts w:ascii="Arial" w:eastAsia="Times New Roman" w:hAnsi="Arial" w:cs="Arial"/>
          <w:b/>
          <w:bCs/>
          <w:color w:val="000000" w:themeColor="text1"/>
          <w:lang w:eastAsia="ar-SA"/>
        </w:rPr>
        <w:t xml:space="preserve">Consultancy Services for Research </w:t>
      </w:r>
      <w:r w:rsidR="009812FF" w:rsidRPr="009812FF">
        <w:rPr>
          <w:rFonts w:ascii="Arial" w:hAnsi="Arial" w:cs="Arial"/>
          <w:b/>
          <w:bCs/>
          <w:color w:val="000000" w:themeColor="text1"/>
          <w:sz w:val="24"/>
          <w:szCs w:val="24"/>
        </w:rPr>
        <w:t>on the Impact of Mother Tongue (Somali) Instruction on Academic Performance in Primary and Secondary Education in Somalia</w:t>
      </w:r>
      <w:r w:rsidRPr="009812FF">
        <w:rPr>
          <w:rFonts w:ascii="Arial" w:eastAsia="SimSun" w:hAnsi="Arial" w:cs="Arial"/>
          <w:sz w:val="24"/>
          <w:szCs w:val="24"/>
          <w:lang w:val="en-GB" w:eastAsia="zh-CN"/>
        </w:rPr>
        <w:t>.”</w:t>
      </w:r>
      <w:r w:rsidRPr="009812FF">
        <w:rPr>
          <w:rFonts w:ascii="Arial" w:eastAsia="SimSun" w:hAnsi="Arial" w:cs="Arial"/>
          <w:color w:val="000000" w:themeColor="text1"/>
          <w:sz w:val="24"/>
          <w:szCs w:val="24"/>
          <w:lang w:val="en-GB" w:eastAsia="zh-CN"/>
        </w:rPr>
        <w:t xml:space="preserve"> as the subject</w:t>
      </w:r>
      <w:r w:rsidRPr="00556588">
        <w:rPr>
          <w:rFonts w:ascii="Arial" w:eastAsia="SimSun" w:hAnsi="Arial" w:cs="Arial"/>
          <w:sz w:val="24"/>
          <w:szCs w:val="24"/>
          <w:lang w:val="en-GB" w:eastAsia="zh-CN"/>
        </w:rPr>
        <w:t>. The deadline for submission</w:t>
      </w:r>
      <w:r w:rsidR="001337DD">
        <w:rPr>
          <w:rFonts w:ascii="Arial" w:eastAsia="SimSun" w:hAnsi="Arial" w:cs="Arial"/>
          <w:sz w:val="24"/>
          <w:szCs w:val="24"/>
          <w:lang w:val="en-GB" w:eastAsia="zh-CN"/>
        </w:rPr>
        <w:t xml:space="preserve"> </w:t>
      </w:r>
      <w:proofErr w:type="gramStart"/>
      <w:r w:rsidR="001337DD">
        <w:rPr>
          <w:rFonts w:ascii="Arial" w:eastAsia="SimSun" w:hAnsi="Arial" w:cs="Arial"/>
          <w:sz w:val="24"/>
          <w:szCs w:val="24"/>
          <w:lang w:val="en-GB" w:eastAsia="zh-CN"/>
        </w:rPr>
        <w:t>see</w:t>
      </w:r>
      <w:proofErr w:type="gramEnd"/>
      <w:r w:rsidR="001337DD">
        <w:rPr>
          <w:rFonts w:ascii="Arial" w:eastAsia="SimSun" w:hAnsi="Arial" w:cs="Arial"/>
          <w:sz w:val="24"/>
          <w:szCs w:val="24"/>
          <w:lang w:val="en-GB" w:eastAsia="zh-CN"/>
        </w:rPr>
        <w:t xml:space="preserve"> above</w:t>
      </w:r>
      <w:r w:rsidRPr="00556588">
        <w:rPr>
          <w:rFonts w:ascii="Arial" w:eastAsia="SimSun" w:hAnsi="Arial" w:cs="Arial"/>
          <w:sz w:val="24"/>
          <w:szCs w:val="24"/>
          <w:lang w:val="en-GB" w:eastAsia="zh-CN"/>
        </w:rPr>
        <w:t>.  All documents must be submitted in English, in Microsoft Word or PDF format, with clearly labelled filenames and a maximum size of 1</w:t>
      </w:r>
      <w:r w:rsidR="00AB6B0D" w:rsidRPr="00556588">
        <w:rPr>
          <w:rFonts w:ascii="Arial" w:eastAsia="SimSun" w:hAnsi="Arial" w:cs="Arial"/>
          <w:sz w:val="24"/>
          <w:szCs w:val="24"/>
          <w:lang w:val="en-GB" w:eastAsia="zh-CN"/>
        </w:rPr>
        <w:t>5</w:t>
      </w:r>
      <w:r w:rsidRPr="00556588">
        <w:rPr>
          <w:rFonts w:ascii="Arial" w:eastAsia="SimSun" w:hAnsi="Arial" w:cs="Arial"/>
          <w:sz w:val="24"/>
          <w:szCs w:val="24"/>
          <w:lang w:val="en-GB" w:eastAsia="zh-CN"/>
        </w:rPr>
        <w:t xml:space="preserve">MB per file. </w:t>
      </w:r>
    </w:p>
    <w:p w14:paraId="0C5D948F" w14:textId="6F73BCC7" w:rsidR="00EF32D9" w:rsidRPr="00556588" w:rsidRDefault="00EF32D9" w:rsidP="00556588">
      <w:pPr>
        <w:spacing w:after="0" w:line="240" w:lineRule="auto"/>
        <w:rPr>
          <w:rFonts w:ascii="Arial" w:eastAsia="SimSun" w:hAnsi="Arial" w:cs="Arial"/>
          <w:sz w:val="24"/>
          <w:szCs w:val="24"/>
          <w:lang w:val="en-GB" w:eastAsia="zh-CN"/>
        </w:rPr>
      </w:pPr>
      <w:r w:rsidRPr="00556588">
        <w:rPr>
          <w:rFonts w:ascii="Arial" w:eastAsia="SimSun" w:hAnsi="Arial" w:cs="Arial"/>
          <w:sz w:val="24"/>
          <w:szCs w:val="24"/>
          <w:lang w:val="en-GB" w:eastAsia="zh-CN"/>
        </w:rPr>
        <w:t xml:space="preserve">We look forward to receiving your proposals. For any clarifications or questions regarding this invitation, please contact Save the Children at the email address provided above. </w:t>
      </w:r>
    </w:p>
    <w:p w14:paraId="45BCB92F" w14:textId="77777777" w:rsidR="001337DD" w:rsidRDefault="001337DD" w:rsidP="00556588">
      <w:pPr>
        <w:spacing w:after="0" w:line="240" w:lineRule="auto"/>
        <w:jc w:val="center"/>
        <w:rPr>
          <w:rFonts w:ascii="Arial" w:eastAsia="SimSun" w:hAnsi="Arial" w:cs="Arial"/>
          <w:b/>
          <w:bCs/>
          <w:sz w:val="24"/>
          <w:szCs w:val="24"/>
          <w:lang w:val="en-GB" w:eastAsia="zh-CN"/>
        </w:rPr>
      </w:pPr>
    </w:p>
    <w:p w14:paraId="4FD14C57" w14:textId="6D5089A0" w:rsidR="00B827F0" w:rsidRPr="00EF32D9" w:rsidRDefault="00EF32D9" w:rsidP="00556588">
      <w:pPr>
        <w:spacing w:after="0" w:line="240" w:lineRule="auto"/>
        <w:jc w:val="center"/>
        <w:rPr>
          <w:rFonts w:ascii="Arial" w:eastAsia="SimSun" w:hAnsi="Arial" w:cs="Arial"/>
          <w:b/>
          <w:bCs/>
          <w:sz w:val="24"/>
          <w:szCs w:val="24"/>
          <w:lang w:val="en-GB" w:eastAsia="zh-CN"/>
        </w:rPr>
      </w:pPr>
      <w:r w:rsidRPr="00556588">
        <w:rPr>
          <w:rFonts w:ascii="Arial" w:eastAsia="SimSun" w:hAnsi="Arial" w:cs="Arial"/>
          <w:b/>
          <w:bCs/>
          <w:sz w:val="24"/>
          <w:szCs w:val="24"/>
          <w:lang w:val="en-GB" w:eastAsia="zh-CN"/>
        </w:rPr>
        <w:t>*** END OF INVITATION TO BID ***</w:t>
      </w:r>
    </w:p>
    <w:sectPr w:rsidR="00B827F0" w:rsidRPr="00EF32D9">
      <w:headerReference w:type="default" r:id="rId19"/>
      <w:pgSz w:w="12240" w:h="15840"/>
      <w:pgMar w:top="1008" w:right="1080" w:bottom="432"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0301" w14:textId="77777777" w:rsidR="002B7580" w:rsidRDefault="002B7580">
      <w:pPr>
        <w:spacing w:line="240" w:lineRule="auto"/>
      </w:pPr>
      <w:r>
        <w:separator/>
      </w:r>
    </w:p>
  </w:endnote>
  <w:endnote w:type="continuationSeparator" w:id="0">
    <w:p w14:paraId="136C9616" w14:textId="77777777" w:rsidR="002B7580" w:rsidRDefault="002B7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5C58" w14:textId="77777777" w:rsidR="002B7580" w:rsidRDefault="002B7580">
      <w:pPr>
        <w:spacing w:after="0"/>
      </w:pPr>
      <w:r>
        <w:separator/>
      </w:r>
    </w:p>
  </w:footnote>
  <w:footnote w:type="continuationSeparator" w:id="0">
    <w:p w14:paraId="16977F30" w14:textId="77777777" w:rsidR="002B7580" w:rsidRDefault="002B7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F546" w14:textId="436DF2D3" w:rsidR="009A63A4" w:rsidRDefault="009A63A4">
    <w:pPr>
      <w:pStyle w:val="Header"/>
    </w:pPr>
  </w:p>
  <w:p w14:paraId="4A719536" w14:textId="25D11BB8" w:rsidR="009A63A4" w:rsidRDefault="009A63A4">
    <w:pPr>
      <w:pStyle w:val="Header"/>
    </w:pPr>
    <w:r>
      <w:rPr>
        <w:noProof/>
      </w:rPr>
      <w:drawing>
        <wp:anchor distT="0" distB="0" distL="114300" distR="114300" simplePos="0" relativeHeight="251655168" behindDoc="0" locked="0" layoutInCell="1" allowOverlap="1" wp14:anchorId="2A0F48A2" wp14:editId="398CA7C5">
          <wp:simplePos x="0" y="0"/>
          <wp:positionH relativeFrom="margin">
            <wp:align>right</wp:align>
          </wp:positionH>
          <wp:positionV relativeFrom="paragraph">
            <wp:posOffset>22860</wp:posOffset>
          </wp:positionV>
          <wp:extent cx="996950" cy="711685"/>
          <wp:effectExtent l="0" t="0" r="0" b="0"/>
          <wp:wrapNone/>
          <wp:docPr id="648672665" name="Picture 2" descr="Somalia em">
            <a:extLst xmlns:a="http://schemas.openxmlformats.org/drawingml/2006/main">
              <a:ext uri="{FF2B5EF4-FFF2-40B4-BE49-F238E27FC236}">
                <a16:creationId xmlns:a16="http://schemas.microsoft.com/office/drawing/2014/main" id="{43A3A2CB-510C-43FA-BE93-CF4779E1CE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omalia em">
                    <a:extLst>
                      <a:ext uri="{FF2B5EF4-FFF2-40B4-BE49-F238E27FC236}">
                        <a16:creationId xmlns:a16="http://schemas.microsoft.com/office/drawing/2014/main" id="{43A3A2CB-510C-43FA-BE93-CF4779E1CE8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11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A0493" w14:textId="4A445786" w:rsidR="009A63A4" w:rsidRDefault="009A63A4" w:rsidP="009A63A4">
    <w:pPr>
      <w:pStyle w:val="Header"/>
      <w:tabs>
        <w:tab w:val="clear" w:pos="4680"/>
        <w:tab w:val="clear" w:pos="9360"/>
        <w:tab w:val="left" w:pos="5860"/>
      </w:tabs>
    </w:pPr>
    <w:r w:rsidRPr="00BB7749">
      <w:rPr>
        <w:rFonts w:ascii="Gill Sans MT" w:hAnsi="Gill Sans MT"/>
        <w:noProof/>
        <w:sz w:val="32"/>
        <w:szCs w:val="32"/>
        <w:lang w:eastAsia="en-GB"/>
      </w:rPr>
      <w:drawing>
        <wp:anchor distT="0" distB="0" distL="114300" distR="114300" simplePos="0" relativeHeight="251664384" behindDoc="0" locked="0" layoutInCell="1" allowOverlap="1" wp14:anchorId="18DB6301" wp14:editId="0BEEB3FA">
          <wp:simplePos x="0" y="0"/>
          <wp:positionH relativeFrom="margin">
            <wp:posOffset>2508250</wp:posOffset>
          </wp:positionH>
          <wp:positionV relativeFrom="paragraph">
            <wp:posOffset>6350</wp:posOffset>
          </wp:positionV>
          <wp:extent cx="1352550" cy="4610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352550" cy="461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03DA382C" w14:textId="32682E2F" w:rsidR="009A63A4" w:rsidRDefault="009A63A4">
    <w:pPr>
      <w:pStyle w:val="Header"/>
    </w:pPr>
  </w:p>
  <w:p w14:paraId="37C8795A" w14:textId="77777777" w:rsidR="009A63A4" w:rsidRDefault="009A63A4">
    <w:pPr>
      <w:pStyle w:val="Header"/>
    </w:pPr>
  </w:p>
  <w:p w14:paraId="6E473A10" w14:textId="77777777" w:rsidR="009A63A4" w:rsidRDefault="009A6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581"/>
    <w:multiLevelType w:val="hybridMultilevel"/>
    <w:tmpl w:val="8E0031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1A412F"/>
    <w:multiLevelType w:val="hybridMultilevel"/>
    <w:tmpl w:val="A9D24B20"/>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785"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B415E7"/>
    <w:multiLevelType w:val="hybridMultilevel"/>
    <w:tmpl w:val="F4F8521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4EF489C"/>
    <w:multiLevelType w:val="hybridMultilevel"/>
    <w:tmpl w:val="8F60C4EC"/>
    <w:lvl w:ilvl="0" w:tplc="02F6D618">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A6B91"/>
    <w:multiLevelType w:val="hybridMultilevel"/>
    <w:tmpl w:val="0CCEBD8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A2B1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354D2C"/>
    <w:multiLevelType w:val="multilevel"/>
    <w:tmpl w:val="9AF0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35BDB"/>
    <w:multiLevelType w:val="hybridMultilevel"/>
    <w:tmpl w:val="109A6344"/>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785"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37F49F6"/>
    <w:multiLevelType w:val="multilevel"/>
    <w:tmpl w:val="337F49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45609BC"/>
    <w:multiLevelType w:val="hybridMultilevel"/>
    <w:tmpl w:val="4D147FAA"/>
    <w:lvl w:ilvl="0" w:tplc="02F6D618">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51203C"/>
    <w:multiLevelType w:val="multilevel"/>
    <w:tmpl w:val="3C51203C"/>
    <w:lvl w:ilvl="0">
      <w:start w:val="1"/>
      <w:numFmt w:val="bullet"/>
      <w:lvlText w:val=""/>
      <w:lvlJc w:val="left"/>
      <w:pPr>
        <w:ind w:left="720" w:hanging="360"/>
      </w:pPr>
      <w:rPr>
        <w:rFonts w:ascii="Wingdings" w:hAnsi="Wingdings" w:hint="default"/>
      </w:rPr>
    </w:lvl>
    <w:lvl w:ilvl="1">
      <w:start w:val="4"/>
      <w:numFmt w:val="bullet"/>
      <w:lvlText w:val="•"/>
      <w:lvlJc w:val="left"/>
      <w:pPr>
        <w:ind w:left="45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AD7622"/>
    <w:multiLevelType w:val="hybridMultilevel"/>
    <w:tmpl w:val="B2CE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232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166A20"/>
    <w:multiLevelType w:val="hybridMultilevel"/>
    <w:tmpl w:val="28EA0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B7EC8"/>
    <w:multiLevelType w:val="hybridMultilevel"/>
    <w:tmpl w:val="E0B2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82CD5"/>
    <w:multiLevelType w:val="hybridMultilevel"/>
    <w:tmpl w:val="8DC2D340"/>
    <w:lvl w:ilvl="0" w:tplc="CE9CD85A">
      <w:start w:val="1"/>
      <w:numFmt w:val="lowerRoman"/>
      <w:lvlText w:val="%1."/>
      <w:lvlJc w:val="left"/>
      <w:pPr>
        <w:ind w:left="720" w:hanging="360"/>
      </w:pPr>
    </w:lvl>
    <w:lvl w:ilvl="1" w:tplc="8C24A4A2">
      <w:start w:val="1"/>
      <w:numFmt w:val="lowerLetter"/>
      <w:lvlText w:val="%2."/>
      <w:lvlJc w:val="left"/>
      <w:pPr>
        <w:ind w:left="1440" w:hanging="360"/>
      </w:pPr>
    </w:lvl>
    <w:lvl w:ilvl="2" w:tplc="58FC36D2">
      <w:start w:val="1"/>
      <w:numFmt w:val="lowerRoman"/>
      <w:lvlText w:val="%3."/>
      <w:lvlJc w:val="right"/>
      <w:pPr>
        <w:ind w:left="2160" w:hanging="180"/>
      </w:pPr>
    </w:lvl>
    <w:lvl w:ilvl="3" w:tplc="864ED572">
      <w:start w:val="1"/>
      <w:numFmt w:val="decimal"/>
      <w:lvlText w:val="%4."/>
      <w:lvlJc w:val="left"/>
      <w:pPr>
        <w:ind w:left="2880" w:hanging="360"/>
      </w:pPr>
    </w:lvl>
    <w:lvl w:ilvl="4" w:tplc="1D74396C">
      <w:start w:val="1"/>
      <w:numFmt w:val="lowerLetter"/>
      <w:lvlText w:val="%5."/>
      <w:lvlJc w:val="left"/>
      <w:pPr>
        <w:ind w:left="3600" w:hanging="360"/>
      </w:pPr>
    </w:lvl>
    <w:lvl w:ilvl="5" w:tplc="63A40E08">
      <w:start w:val="1"/>
      <w:numFmt w:val="lowerRoman"/>
      <w:lvlText w:val="%6."/>
      <w:lvlJc w:val="right"/>
      <w:pPr>
        <w:ind w:left="4320" w:hanging="180"/>
      </w:pPr>
    </w:lvl>
    <w:lvl w:ilvl="6" w:tplc="A41C6B66">
      <w:start w:val="1"/>
      <w:numFmt w:val="decimal"/>
      <w:lvlText w:val="%7."/>
      <w:lvlJc w:val="left"/>
      <w:pPr>
        <w:ind w:left="5040" w:hanging="360"/>
      </w:pPr>
    </w:lvl>
    <w:lvl w:ilvl="7" w:tplc="96A25D86">
      <w:start w:val="1"/>
      <w:numFmt w:val="lowerLetter"/>
      <w:lvlText w:val="%8."/>
      <w:lvlJc w:val="left"/>
      <w:pPr>
        <w:ind w:left="5760" w:hanging="360"/>
      </w:pPr>
    </w:lvl>
    <w:lvl w:ilvl="8" w:tplc="77880AF8">
      <w:start w:val="1"/>
      <w:numFmt w:val="lowerRoman"/>
      <w:lvlText w:val="%9."/>
      <w:lvlJc w:val="right"/>
      <w:pPr>
        <w:ind w:left="6480" w:hanging="180"/>
      </w:pPr>
    </w:lvl>
  </w:abstractNum>
  <w:abstractNum w:abstractNumId="16" w15:restartNumberingAfterBreak="0">
    <w:nsid w:val="5B9E7E1B"/>
    <w:multiLevelType w:val="hybridMultilevel"/>
    <w:tmpl w:val="0B82E4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8A5FDF"/>
    <w:multiLevelType w:val="multilevel"/>
    <w:tmpl w:val="6B8A5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D314D12"/>
    <w:multiLevelType w:val="hybridMultilevel"/>
    <w:tmpl w:val="E45A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B91B0E"/>
    <w:multiLevelType w:val="hybridMultilevel"/>
    <w:tmpl w:val="1BA63A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811F06"/>
    <w:multiLevelType w:val="hybridMultilevel"/>
    <w:tmpl w:val="FFFFFFFF"/>
    <w:lvl w:ilvl="0" w:tplc="E410BAD2">
      <w:start w:val="1"/>
      <w:numFmt w:val="upperRoman"/>
      <w:lvlText w:val="%1."/>
      <w:lvlJc w:val="right"/>
      <w:pPr>
        <w:ind w:left="720" w:hanging="360"/>
      </w:pPr>
    </w:lvl>
    <w:lvl w:ilvl="1" w:tplc="7AB26B1C">
      <w:start w:val="1"/>
      <w:numFmt w:val="lowerLetter"/>
      <w:lvlText w:val="%2."/>
      <w:lvlJc w:val="left"/>
      <w:pPr>
        <w:ind w:left="1440" w:hanging="360"/>
      </w:pPr>
    </w:lvl>
    <w:lvl w:ilvl="2" w:tplc="96D86CAA">
      <w:start w:val="1"/>
      <w:numFmt w:val="lowerRoman"/>
      <w:lvlText w:val="%3."/>
      <w:lvlJc w:val="right"/>
      <w:pPr>
        <w:ind w:left="2160" w:hanging="180"/>
      </w:pPr>
    </w:lvl>
    <w:lvl w:ilvl="3" w:tplc="2B0E4582">
      <w:start w:val="1"/>
      <w:numFmt w:val="decimal"/>
      <w:lvlText w:val="%4."/>
      <w:lvlJc w:val="left"/>
      <w:pPr>
        <w:ind w:left="2880" w:hanging="360"/>
      </w:pPr>
    </w:lvl>
    <w:lvl w:ilvl="4" w:tplc="DB0E4FDE">
      <w:start w:val="1"/>
      <w:numFmt w:val="lowerLetter"/>
      <w:lvlText w:val="%5."/>
      <w:lvlJc w:val="left"/>
      <w:pPr>
        <w:ind w:left="3600" w:hanging="360"/>
      </w:pPr>
    </w:lvl>
    <w:lvl w:ilvl="5" w:tplc="8FF8A550">
      <w:start w:val="1"/>
      <w:numFmt w:val="lowerRoman"/>
      <w:lvlText w:val="%6."/>
      <w:lvlJc w:val="right"/>
      <w:pPr>
        <w:ind w:left="4320" w:hanging="180"/>
      </w:pPr>
    </w:lvl>
    <w:lvl w:ilvl="6" w:tplc="8814DB00">
      <w:start w:val="1"/>
      <w:numFmt w:val="decimal"/>
      <w:lvlText w:val="%7."/>
      <w:lvlJc w:val="left"/>
      <w:pPr>
        <w:ind w:left="5040" w:hanging="360"/>
      </w:pPr>
    </w:lvl>
    <w:lvl w:ilvl="7" w:tplc="0FB03D6E">
      <w:start w:val="1"/>
      <w:numFmt w:val="lowerLetter"/>
      <w:lvlText w:val="%8."/>
      <w:lvlJc w:val="left"/>
      <w:pPr>
        <w:ind w:left="5760" w:hanging="360"/>
      </w:pPr>
    </w:lvl>
    <w:lvl w:ilvl="8" w:tplc="09A69806">
      <w:start w:val="1"/>
      <w:numFmt w:val="lowerRoman"/>
      <w:lvlText w:val="%9."/>
      <w:lvlJc w:val="right"/>
      <w:pPr>
        <w:ind w:left="6480" w:hanging="180"/>
      </w:pPr>
    </w:lvl>
  </w:abstractNum>
  <w:abstractNum w:abstractNumId="21" w15:restartNumberingAfterBreak="0">
    <w:nsid w:val="70762D9E"/>
    <w:multiLevelType w:val="hybridMultilevel"/>
    <w:tmpl w:val="DF6A85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3B407CD"/>
    <w:multiLevelType w:val="hybridMultilevel"/>
    <w:tmpl w:val="B9DA7848"/>
    <w:lvl w:ilvl="0" w:tplc="02F6D618">
      <w:start w:val="1"/>
      <w:numFmt w:val="bullet"/>
      <w:lvlText w:val="•"/>
      <w:lvlJc w:val="left"/>
      <w:pPr>
        <w:ind w:left="360" w:hanging="360"/>
      </w:pPr>
    </w:lvl>
    <w:lvl w:ilvl="1" w:tplc="F80A338A">
      <w:start w:val="1"/>
      <w:numFmt w:val="bullet"/>
      <w:lvlText w:val="○"/>
      <w:lvlJc w:val="left"/>
      <w:pPr>
        <w:ind w:left="720" w:hanging="360"/>
      </w:pPr>
    </w:lvl>
    <w:lvl w:ilvl="2" w:tplc="96107654">
      <w:numFmt w:val="decimal"/>
      <w:lvlText w:val=""/>
      <w:lvlJc w:val="left"/>
    </w:lvl>
    <w:lvl w:ilvl="3" w:tplc="011E5E34">
      <w:numFmt w:val="decimal"/>
      <w:lvlText w:val=""/>
      <w:lvlJc w:val="left"/>
    </w:lvl>
    <w:lvl w:ilvl="4" w:tplc="6E38B8E4">
      <w:numFmt w:val="decimal"/>
      <w:lvlText w:val=""/>
      <w:lvlJc w:val="left"/>
    </w:lvl>
    <w:lvl w:ilvl="5" w:tplc="7A08E9A4">
      <w:numFmt w:val="decimal"/>
      <w:lvlText w:val=""/>
      <w:lvlJc w:val="left"/>
    </w:lvl>
    <w:lvl w:ilvl="6" w:tplc="CC405FA2">
      <w:numFmt w:val="decimal"/>
      <w:lvlText w:val=""/>
      <w:lvlJc w:val="left"/>
    </w:lvl>
    <w:lvl w:ilvl="7" w:tplc="3FC25A40">
      <w:numFmt w:val="decimal"/>
      <w:lvlText w:val=""/>
      <w:lvlJc w:val="left"/>
    </w:lvl>
    <w:lvl w:ilvl="8" w:tplc="CAD86EE6">
      <w:numFmt w:val="decimal"/>
      <w:lvlText w:val=""/>
      <w:lvlJc w:val="left"/>
    </w:lvl>
  </w:abstractNum>
  <w:abstractNum w:abstractNumId="23" w15:restartNumberingAfterBreak="0">
    <w:nsid w:val="741512E0"/>
    <w:multiLevelType w:val="hybridMultilevel"/>
    <w:tmpl w:val="E952765E"/>
    <w:lvl w:ilvl="0" w:tplc="EE0285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F1BD3D"/>
    <w:multiLevelType w:val="hybridMultilevel"/>
    <w:tmpl w:val="475AB6C0"/>
    <w:lvl w:ilvl="0" w:tplc="5E94C348">
      <w:start w:val="1"/>
      <w:numFmt w:val="bullet"/>
      <w:lvlText w:val=""/>
      <w:lvlJc w:val="left"/>
      <w:pPr>
        <w:ind w:left="720" w:hanging="360"/>
      </w:pPr>
      <w:rPr>
        <w:rFonts w:ascii="Symbol" w:hAnsi="Symbol" w:hint="default"/>
      </w:rPr>
    </w:lvl>
    <w:lvl w:ilvl="1" w:tplc="14DEF93A">
      <w:start w:val="1"/>
      <w:numFmt w:val="bullet"/>
      <w:lvlText w:val="o"/>
      <w:lvlJc w:val="left"/>
      <w:pPr>
        <w:ind w:left="1440" w:hanging="360"/>
      </w:pPr>
      <w:rPr>
        <w:rFonts w:ascii="Courier New" w:hAnsi="Courier New" w:hint="default"/>
      </w:rPr>
    </w:lvl>
    <w:lvl w:ilvl="2" w:tplc="B06CB694">
      <w:start w:val="1"/>
      <w:numFmt w:val="bullet"/>
      <w:lvlText w:val=""/>
      <w:lvlJc w:val="left"/>
      <w:pPr>
        <w:ind w:left="2160" w:hanging="360"/>
      </w:pPr>
      <w:rPr>
        <w:rFonts w:ascii="Wingdings" w:hAnsi="Wingdings" w:hint="default"/>
      </w:rPr>
    </w:lvl>
    <w:lvl w:ilvl="3" w:tplc="D1CE7CBE">
      <w:start w:val="1"/>
      <w:numFmt w:val="bullet"/>
      <w:lvlText w:val=""/>
      <w:lvlJc w:val="left"/>
      <w:pPr>
        <w:ind w:left="2880" w:hanging="360"/>
      </w:pPr>
      <w:rPr>
        <w:rFonts w:ascii="Symbol" w:hAnsi="Symbol" w:hint="default"/>
      </w:rPr>
    </w:lvl>
    <w:lvl w:ilvl="4" w:tplc="2204468A">
      <w:start w:val="1"/>
      <w:numFmt w:val="bullet"/>
      <w:lvlText w:val="o"/>
      <w:lvlJc w:val="left"/>
      <w:pPr>
        <w:ind w:left="3600" w:hanging="360"/>
      </w:pPr>
      <w:rPr>
        <w:rFonts w:ascii="Courier New" w:hAnsi="Courier New" w:hint="default"/>
      </w:rPr>
    </w:lvl>
    <w:lvl w:ilvl="5" w:tplc="B066ACAC">
      <w:start w:val="1"/>
      <w:numFmt w:val="bullet"/>
      <w:lvlText w:val=""/>
      <w:lvlJc w:val="left"/>
      <w:pPr>
        <w:ind w:left="4320" w:hanging="360"/>
      </w:pPr>
      <w:rPr>
        <w:rFonts w:ascii="Wingdings" w:hAnsi="Wingdings" w:hint="default"/>
      </w:rPr>
    </w:lvl>
    <w:lvl w:ilvl="6" w:tplc="D34A6D98">
      <w:start w:val="1"/>
      <w:numFmt w:val="bullet"/>
      <w:lvlText w:val=""/>
      <w:lvlJc w:val="left"/>
      <w:pPr>
        <w:ind w:left="5040" w:hanging="360"/>
      </w:pPr>
      <w:rPr>
        <w:rFonts w:ascii="Symbol" w:hAnsi="Symbol" w:hint="default"/>
      </w:rPr>
    </w:lvl>
    <w:lvl w:ilvl="7" w:tplc="F21C9B86">
      <w:start w:val="1"/>
      <w:numFmt w:val="bullet"/>
      <w:lvlText w:val="o"/>
      <w:lvlJc w:val="left"/>
      <w:pPr>
        <w:ind w:left="5760" w:hanging="360"/>
      </w:pPr>
      <w:rPr>
        <w:rFonts w:ascii="Courier New" w:hAnsi="Courier New" w:hint="default"/>
      </w:rPr>
    </w:lvl>
    <w:lvl w:ilvl="8" w:tplc="EFC63B04">
      <w:start w:val="1"/>
      <w:numFmt w:val="bullet"/>
      <w:lvlText w:val=""/>
      <w:lvlJc w:val="left"/>
      <w:pPr>
        <w:ind w:left="6480" w:hanging="360"/>
      </w:pPr>
      <w:rPr>
        <w:rFonts w:ascii="Wingdings" w:hAnsi="Wingdings" w:hint="default"/>
      </w:rPr>
    </w:lvl>
  </w:abstractNum>
  <w:abstractNum w:abstractNumId="25" w15:restartNumberingAfterBreak="0">
    <w:nsid w:val="7B682F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EA01BF"/>
    <w:multiLevelType w:val="hybridMultilevel"/>
    <w:tmpl w:val="2F008B98"/>
    <w:lvl w:ilvl="0" w:tplc="FFFFFFFF">
      <w:start w:val="1"/>
      <w:numFmt w:val="bullet"/>
      <w:lvlText w:val="·"/>
      <w:lvlJc w:val="left"/>
      <w:pPr>
        <w:ind w:left="720" w:hanging="360"/>
      </w:pPr>
      <w:rPr>
        <w:rFonts w:ascii="Symbol" w:hAnsi="Symbol" w:hint="default"/>
      </w:rPr>
    </w:lvl>
    <w:lvl w:ilvl="1" w:tplc="04090013">
      <w:start w:val="1"/>
      <w:numFmt w:val="upperRoman"/>
      <w:lvlText w:val="%2."/>
      <w:lvlJc w:val="right"/>
      <w:pPr>
        <w:ind w:left="36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92436032">
    <w:abstractNumId w:val="17"/>
  </w:num>
  <w:num w:numId="2" w16cid:durableId="1149591895">
    <w:abstractNumId w:val="10"/>
  </w:num>
  <w:num w:numId="3" w16cid:durableId="1904754176">
    <w:abstractNumId w:val="8"/>
  </w:num>
  <w:num w:numId="4" w16cid:durableId="1041393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215596">
    <w:abstractNumId w:val="18"/>
  </w:num>
  <w:num w:numId="6" w16cid:durableId="907230380">
    <w:abstractNumId w:val="11"/>
  </w:num>
  <w:num w:numId="7" w16cid:durableId="296646630">
    <w:abstractNumId w:val="24"/>
  </w:num>
  <w:num w:numId="8" w16cid:durableId="1599171759">
    <w:abstractNumId w:val="15"/>
  </w:num>
  <w:num w:numId="9" w16cid:durableId="977999340">
    <w:abstractNumId w:val="20"/>
  </w:num>
  <w:num w:numId="10" w16cid:durableId="756361426">
    <w:abstractNumId w:val="16"/>
  </w:num>
  <w:num w:numId="11" w16cid:durableId="429741014">
    <w:abstractNumId w:val="21"/>
  </w:num>
  <w:num w:numId="12" w16cid:durableId="1049766349">
    <w:abstractNumId w:val="1"/>
    <w:lvlOverride w:ilvl="0"/>
    <w:lvlOverride w:ilvl="1">
      <w:startOverride w:val="1"/>
    </w:lvlOverride>
    <w:lvlOverride w:ilvl="2"/>
    <w:lvlOverride w:ilvl="3"/>
    <w:lvlOverride w:ilvl="4"/>
    <w:lvlOverride w:ilvl="5"/>
    <w:lvlOverride w:ilvl="6"/>
    <w:lvlOverride w:ilvl="7"/>
    <w:lvlOverride w:ilvl="8"/>
  </w:num>
  <w:num w:numId="13" w16cid:durableId="1174029555">
    <w:abstractNumId w:val="7"/>
    <w:lvlOverride w:ilvl="0"/>
    <w:lvlOverride w:ilvl="1">
      <w:startOverride w:val="1"/>
    </w:lvlOverride>
    <w:lvlOverride w:ilvl="2"/>
    <w:lvlOverride w:ilvl="3"/>
    <w:lvlOverride w:ilvl="4"/>
    <w:lvlOverride w:ilvl="5"/>
    <w:lvlOverride w:ilvl="6"/>
    <w:lvlOverride w:ilvl="7"/>
    <w:lvlOverride w:ilvl="8"/>
  </w:num>
  <w:num w:numId="14" w16cid:durableId="1012561455">
    <w:abstractNumId w:val="26"/>
    <w:lvlOverride w:ilvl="0"/>
    <w:lvlOverride w:ilvl="1">
      <w:startOverride w:val="1"/>
    </w:lvlOverride>
    <w:lvlOverride w:ilvl="2"/>
    <w:lvlOverride w:ilvl="3"/>
    <w:lvlOverride w:ilvl="4"/>
    <w:lvlOverride w:ilvl="5"/>
    <w:lvlOverride w:ilvl="6"/>
    <w:lvlOverride w:ilvl="7"/>
    <w:lvlOverride w:ilvl="8"/>
  </w:num>
  <w:num w:numId="15" w16cid:durableId="295841906">
    <w:abstractNumId w:val="22"/>
  </w:num>
  <w:num w:numId="16" w16cid:durableId="1070889671">
    <w:abstractNumId w:val="22"/>
  </w:num>
  <w:num w:numId="17" w16cid:durableId="871301983">
    <w:abstractNumId w:val="2"/>
  </w:num>
  <w:num w:numId="18" w16cid:durableId="1976372212">
    <w:abstractNumId w:val="26"/>
  </w:num>
  <w:num w:numId="19" w16cid:durableId="826288811">
    <w:abstractNumId w:val="1"/>
  </w:num>
  <w:num w:numId="20" w16cid:durableId="1053038826">
    <w:abstractNumId w:val="9"/>
  </w:num>
  <w:num w:numId="21" w16cid:durableId="1720011151">
    <w:abstractNumId w:val="3"/>
  </w:num>
  <w:num w:numId="22" w16cid:durableId="1675647894">
    <w:abstractNumId w:val="13"/>
  </w:num>
  <w:num w:numId="23" w16cid:durableId="878009947">
    <w:abstractNumId w:val="12"/>
  </w:num>
  <w:num w:numId="24" w16cid:durableId="832570996">
    <w:abstractNumId w:val="5"/>
  </w:num>
  <w:num w:numId="25" w16cid:durableId="558319847">
    <w:abstractNumId w:val="25"/>
  </w:num>
  <w:num w:numId="26" w16cid:durableId="877014104">
    <w:abstractNumId w:val="19"/>
  </w:num>
  <w:num w:numId="27" w16cid:durableId="751047382">
    <w:abstractNumId w:val="0"/>
  </w:num>
  <w:num w:numId="28" w16cid:durableId="1071460746">
    <w:abstractNumId w:val="4"/>
  </w:num>
  <w:num w:numId="29" w16cid:durableId="484203919">
    <w:abstractNumId w:val="6"/>
  </w:num>
  <w:num w:numId="30" w16cid:durableId="15616313">
    <w:abstractNumId w:val="14"/>
  </w:num>
  <w:num w:numId="31" w16cid:durableId="125173771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zQ1NTc1NLU0MTVT0lEKTi0uzszPAykwqgUA0bJlKiwAAAA="/>
  </w:docVars>
  <w:rsids>
    <w:rsidRoot w:val="00B92FE6"/>
    <w:rsid w:val="00000ABE"/>
    <w:rsid w:val="000028B7"/>
    <w:rsid w:val="00005519"/>
    <w:rsid w:val="00005B11"/>
    <w:rsid w:val="00017DF8"/>
    <w:rsid w:val="00020C8A"/>
    <w:rsid w:val="00023739"/>
    <w:rsid w:val="000246A4"/>
    <w:rsid w:val="0003085B"/>
    <w:rsid w:val="00032A94"/>
    <w:rsid w:val="0003424C"/>
    <w:rsid w:val="0004265B"/>
    <w:rsid w:val="0005072C"/>
    <w:rsid w:val="0005313D"/>
    <w:rsid w:val="00053D29"/>
    <w:rsid w:val="00055081"/>
    <w:rsid w:val="000568E4"/>
    <w:rsid w:val="000600E8"/>
    <w:rsid w:val="0006055D"/>
    <w:rsid w:val="00060617"/>
    <w:rsid w:val="00060863"/>
    <w:rsid w:val="00060B1B"/>
    <w:rsid w:val="00061F76"/>
    <w:rsid w:val="000635E0"/>
    <w:rsid w:val="000645E2"/>
    <w:rsid w:val="000650A1"/>
    <w:rsid w:val="0006518C"/>
    <w:rsid w:val="00066CE6"/>
    <w:rsid w:val="000677D8"/>
    <w:rsid w:val="00070594"/>
    <w:rsid w:val="00072738"/>
    <w:rsid w:val="00076F9F"/>
    <w:rsid w:val="00077260"/>
    <w:rsid w:val="00082AED"/>
    <w:rsid w:val="00082F13"/>
    <w:rsid w:val="000868F2"/>
    <w:rsid w:val="00087216"/>
    <w:rsid w:val="000933DC"/>
    <w:rsid w:val="00093DBF"/>
    <w:rsid w:val="000A191F"/>
    <w:rsid w:val="000A3F77"/>
    <w:rsid w:val="000A5D31"/>
    <w:rsid w:val="000A5D85"/>
    <w:rsid w:val="000A6953"/>
    <w:rsid w:val="000A74C2"/>
    <w:rsid w:val="000B466E"/>
    <w:rsid w:val="000B4A4E"/>
    <w:rsid w:val="000B5C1C"/>
    <w:rsid w:val="000B7964"/>
    <w:rsid w:val="000C18FD"/>
    <w:rsid w:val="000C62F2"/>
    <w:rsid w:val="000C6BFD"/>
    <w:rsid w:val="000C6C75"/>
    <w:rsid w:val="000D1D10"/>
    <w:rsid w:val="000D2164"/>
    <w:rsid w:val="000D58AE"/>
    <w:rsid w:val="000E0E29"/>
    <w:rsid w:val="000E228F"/>
    <w:rsid w:val="000E3289"/>
    <w:rsid w:val="000E3B4D"/>
    <w:rsid w:val="000E4343"/>
    <w:rsid w:val="000E5EBB"/>
    <w:rsid w:val="000E6ACA"/>
    <w:rsid w:val="000F26EA"/>
    <w:rsid w:val="000F46B1"/>
    <w:rsid w:val="000F626E"/>
    <w:rsid w:val="000F6C05"/>
    <w:rsid w:val="00102455"/>
    <w:rsid w:val="00103049"/>
    <w:rsid w:val="00107F1D"/>
    <w:rsid w:val="00110538"/>
    <w:rsid w:val="00110661"/>
    <w:rsid w:val="00110F45"/>
    <w:rsid w:val="001133FD"/>
    <w:rsid w:val="0011603E"/>
    <w:rsid w:val="001169DD"/>
    <w:rsid w:val="00117A66"/>
    <w:rsid w:val="00122C6A"/>
    <w:rsid w:val="00125284"/>
    <w:rsid w:val="001254E8"/>
    <w:rsid w:val="001259BE"/>
    <w:rsid w:val="00126131"/>
    <w:rsid w:val="00127F78"/>
    <w:rsid w:val="00130203"/>
    <w:rsid w:val="001302DF"/>
    <w:rsid w:val="0013104D"/>
    <w:rsid w:val="00131DB9"/>
    <w:rsid w:val="001323AF"/>
    <w:rsid w:val="001337DD"/>
    <w:rsid w:val="00134297"/>
    <w:rsid w:val="001351F7"/>
    <w:rsid w:val="001352AA"/>
    <w:rsid w:val="00135836"/>
    <w:rsid w:val="001430E3"/>
    <w:rsid w:val="00144E82"/>
    <w:rsid w:val="001450B0"/>
    <w:rsid w:val="001458BD"/>
    <w:rsid w:val="0014653F"/>
    <w:rsid w:val="0014701F"/>
    <w:rsid w:val="00150097"/>
    <w:rsid w:val="001509EC"/>
    <w:rsid w:val="00151587"/>
    <w:rsid w:val="00152521"/>
    <w:rsid w:val="0015293B"/>
    <w:rsid w:val="00152E53"/>
    <w:rsid w:val="001536F5"/>
    <w:rsid w:val="00156FFC"/>
    <w:rsid w:val="00160B14"/>
    <w:rsid w:val="00160CA7"/>
    <w:rsid w:val="00162DDB"/>
    <w:rsid w:val="00163434"/>
    <w:rsid w:val="001647FC"/>
    <w:rsid w:val="0016551B"/>
    <w:rsid w:val="0016574B"/>
    <w:rsid w:val="00166A76"/>
    <w:rsid w:val="00171872"/>
    <w:rsid w:val="00173286"/>
    <w:rsid w:val="0017349D"/>
    <w:rsid w:val="00181248"/>
    <w:rsid w:val="00181257"/>
    <w:rsid w:val="00181641"/>
    <w:rsid w:val="00181F58"/>
    <w:rsid w:val="00182267"/>
    <w:rsid w:val="00183362"/>
    <w:rsid w:val="00186F87"/>
    <w:rsid w:val="00187D50"/>
    <w:rsid w:val="001A17C7"/>
    <w:rsid w:val="001A1D08"/>
    <w:rsid w:val="001A39B3"/>
    <w:rsid w:val="001A5935"/>
    <w:rsid w:val="001A7DF8"/>
    <w:rsid w:val="001B0D5A"/>
    <w:rsid w:val="001B2884"/>
    <w:rsid w:val="001B3581"/>
    <w:rsid w:val="001B59DF"/>
    <w:rsid w:val="001B6EF1"/>
    <w:rsid w:val="001C0DFF"/>
    <w:rsid w:val="001C1C27"/>
    <w:rsid w:val="001C36E7"/>
    <w:rsid w:val="001C3F62"/>
    <w:rsid w:val="001C7D1E"/>
    <w:rsid w:val="001D1048"/>
    <w:rsid w:val="001D5D06"/>
    <w:rsid w:val="001D6524"/>
    <w:rsid w:val="001E679A"/>
    <w:rsid w:val="001F0415"/>
    <w:rsid w:val="001F1046"/>
    <w:rsid w:val="001F1EAA"/>
    <w:rsid w:val="001F1F92"/>
    <w:rsid w:val="001F200B"/>
    <w:rsid w:val="001F202F"/>
    <w:rsid w:val="001F218A"/>
    <w:rsid w:val="001F28C2"/>
    <w:rsid w:val="001F3250"/>
    <w:rsid w:val="001F3291"/>
    <w:rsid w:val="0020213A"/>
    <w:rsid w:val="00202A94"/>
    <w:rsid w:val="00206A7F"/>
    <w:rsid w:val="00212D99"/>
    <w:rsid w:val="00214FAC"/>
    <w:rsid w:val="00215111"/>
    <w:rsid w:val="0021518A"/>
    <w:rsid w:val="0021586C"/>
    <w:rsid w:val="0021631E"/>
    <w:rsid w:val="00217DAA"/>
    <w:rsid w:val="00220F75"/>
    <w:rsid w:val="00221474"/>
    <w:rsid w:val="0022577F"/>
    <w:rsid w:val="002278BD"/>
    <w:rsid w:val="00232291"/>
    <w:rsid w:val="00233C59"/>
    <w:rsid w:val="00233EB2"/>
    <w:rsid w:val="0023556C"/>
    <w:rsid w:val="002364CD"/>
    <w:rsid w:val="002370E8"/>
    <w:rsid w:val="00237C63"/>
    <w:rsid w:val="00240C7C"/>
    <w:rsid w:val="00241CB4"/>
    <w:rsid w:val="00243006"/>
    <w:rsid w:val="00243E1C"/>
    <w:rsid w:val="0024760D"/>
    <w:rsid w:val="0025084B"/>
    <w:rsid w:val="002509AE"/>
    <w:rsid w:val="0025132F"/>
    <w:rsid w:val="00251362"/>
    <w:rsid w:val="00251D66"/>
    <w:rsid w:val="00252A58"/>
    <w:rsid w:val="00252E45"/>
    <w:rsid w:val="00253E55"/>
    <w:rsid w:val="0025444E"/>
    <w:rsid w:val="00254627"/>
    <w:rsid w:val="0025675B"/>
    <w:rsid w:val="00256872"/>
    <w:rsid w:val="00257F1E"/>
    <w:rsid w:val="002622D4"/>
    <w:rsid w:val="00264A2C"/>
    <w:rsid w:val="00270319"/>
    <w:rsid w:val="00270933"/>
    <w:rsid w:val="00272625"/>
    <w:rsid w:val="00280D9A"/>
    <w:rsid w:val="00280E14"/>
    <w:rsid w:val="002818C8"/>
    <w:rsid w:val="0028194A"/>
    <w:rsid w:val="002821F8"/>
    <w:rsid w:val="0028385A"/>
    <w:rsid w:val="00285F16"/>
    <w:rsid w:val="00285F54"/>
    <w:rsid w:val="002860B6"/>
    <w:rsid w:val="00286EED"/>
    <w:rsid w:val="00287310"/>
    <w:rsid w:val="002874F0"/>
    <w:rsid w:val="00290DEC"/>
    <w:rsid w:val="00293275"/>
    <w:rsid w:val="00294DD7"/>
    <w:rsid w:val="002A16AD"/>
    <w:rsid w:val="002A3994"/>
    <w:rsid w:val="002A601F"/>
    <w:rsid w:val="002A6498"/>
    <w:rsid w:val="002A74A1"/>
    <w:rsid w:val="002B0F56"/>
    <w:rsid w:val="002B20ED"/>
    <w:rsid w:val="002B2EDF"/>
    <w:rsid w:val="002B3879"/>
    <w:rsid w:val="002B3CC8"/>
    <w:rsid w:val="002B4C4A"/>
    <w:rsid w:val="002B50D1"/>
    <w:rsid w:val="002B5CA7"/>
    <w:rsid w:val="002B70AA"/>
    <w:rsid w:val="002B7580"/>
    <w:rsid w:val="002C05AF"/>
    <w:rsid w:val="002C1957"/>
    <w:rsid w:val="002C21C5"/>
    <w:rsid w:val="002C274E"/>
    <w:rsid w:val="002C3C53"/>
    <w:rsid w:val="002C4BF3"/>
    <w:rsid w:val="002C570F"/>
    <w:rsid w:val="002C5E2C"/>
    <w:rsid w:val="002D152B"/>
    <w:rsid w:val="002D249E"/>
    <w:rsid w:val="002D271D"/>
    <w:rsid w:val="002D5DB8"/>
    <w:rsid w:val="002E02D0"/>
    <w:rsid w:val="002E4943"/>
    <w:rsid w:val="002E5BE0"/>
    <w:rsid w:val="002E6D4F"/>
    <w:rsid w:val="002F02F7"/>
    <w:rsid w:val="002F0977"/>
    <w:rsid w:val="002F109A"/>
    <w:rsid w:val="002F14E3"/>
    <w:rsid w:val="002F2D26"/>
    <w:rsid w:val="002F2EBA"/>
    <w:rsid w:val="002F4376"/>
    <w:rsid w:val="002F46CC"/>
    <w:rsid w:val="002F5CBD"/>
    <w:rsid w:val="00300147"/>
    <w:rsid w:val="003029CF"/>
    <w:rsid w:val="0030317C"/>
    <w:rsid w:val="00307360"/>
    <w:rsid w:val="0030740F"/>
    <w:rsid w:val="0031042C"/>
    <w:rsid w:val="00312D4B"/>
    <w:rsid w:val="00314210"/>
    <w:rsid w:val="003178CE"/>
    <w:rsid w:val="00317A8F"/>
    <w:rsid w:val="00320DE4"/>
    <w:rsid w:val="00320EFF"/>
    <w:rsid w:val="003225E5"/>
    <w:rsid w:val="00324AA9"/>
    <w:rsid w:val="003260F6"/>
    <w:rsid w:val="003313C4"/>
    <w:rsid w:val="00331644"/>
    <w:rsid w:val="00332790"/>
    <w:rsid w:val="003330D5"/>
    <w:rsid w:val="0033656F"/>
    <w:rsid w:val="00340233"/>
    <w:rsid w:val="00340419"/>
    <w:rsid w:val="00340E1A"/>
    <w:rsid w:val="00341C4E"/>
    <w:rsid w:val="00343842"/>
    <w:rsid w:val="00343858"/>
    <w:rsid w:val="00345C52"/>
    <w:rsid w:val="003462BD"/>
    <w:rsid w:val="00347FE7"/>
    <w:rsid w:val="003521F6"/>
    <w:rsid w:val="00352686"/>
    <w:rsid w:val="00354BE3"/>
    <w:rsid w:val="00356550"/>
    <w:rsid w:val="0035702F"/>
    <w:rsid w:val="00357F6F"/>
    <w:rsid w:val="00360A32"/>
    <w:rsid w:val="00361240"/>
    <w:rsid w:val="003641C3"/>
    <w:rsid w:val="00375628"/>
    <w:rsid w:val="00377286"/>
    <w:rsid w:val="00380AFF"/>
    <w:rsid w:val="00381CA1"/>
    <w:rsid w:val="003822B9"/>
    <w:rsid w:val="0038696C"/>
    <w:rsid w:val="00387835"/>
    <w:rsid w:val="00391734"/>
    <w:rsid w:val="0039386E"/>
    <w:rsid w:val="0039520D"/>
    <w:rsid w:val="00395A5D"/>
    <w:rsid w:val="00396194"/>
    <w:rsid w:val="00397EC6"/>
    <w:rsid w:val="003A0055"/>
    <w:rsid w:val="003A21C1"/>
    <w:rsid w:val="003A296D"/>
    <w:rsid w:val="003A45E7"/>
    <w:rsid w:val="003A4B7D"/>
    <w:rsid w:val="003A5EE1"/>
    <w:rsid w:val="003A6097"/>
    <w:rsid w:val="003A78F3"/>
    <w:rsid w:val="003A7AAD"/>
    <w:rsid w:val="003B1455"/>
    <w:rsid w:val="003B197E"/>
    <w:rsid w:val="003B20D1"/>
    <w:rsid w:val="003B21C8"/>
    <w:rsid w:val="003B3939"/>
    <w:rsid w:val="003B4F94"/>
    <w:rsid w:val="003B53AE"/>
    <w:rsid w:val="003B5499"/>
    <w:rsid w:val="003B57CE"/>
    <w:rsid w:val="003B587F"/>
    <w:rsid w:val="003B6D5E"/>
    <w:rsid w:val="003B7A97"/>
    <w:rsid w:val="003C08B4"/>
    <w:rsid w:val="003C34C1"/>
    <w:rsid w:val="003C4C1D"/>
    <w:rsid w:val="003C5A2C"/>
    <w:rsid w:val="003C6947"/>
    <w:rsid w:val="003C6A22"/>
    <w:rsid w:val="003D0E96"/>
    <w:rsid w:val="003D1E81"/>
    <w:rsid w:val="003D30F1"/>
    <w:rsid w:val="003D4B0D"/>
    <w:rsid w:val="003D6F33"/>
    <w:rsid w:val="003D6F36"/>
    <w:rsid w:val="003D78E3"/>
    <w:rsid w:val="003E0043"/>
    <w:rsid w:val="003E1F4E"/>
    <w:rsid w:val="003E24EE"/>
    <w:rsid w:val="003E2ED9"/>
    <w:rsid w:val="003E3384"/>
    <w:rsid w:val="003E4AB7"/>
    <w:rsid w:val="003F1E4F"/>
    <w:rsid w:val="003F2ACF"/>
    <w:rsid w:val="003F2AFA"/>
    <w:rsid w:val="003F2CA1"/>
    <w:rsid w:val="003F597B"/>
    <w:rsid w:val="003F638D"/>
    <w:rsid w:val="00400F5F"/>
    <w:rsid w:val="00401FAE"/>
    <w:rsid w:val="00404AB8"/>
    <w:rsid w:val="00404B5B"/>
    <w:rsid w:val="004077DE"/>
    <w:rsid w:val="00416B82"/>
    <w:rsid w:val="004220DA"/>
    <w:rsid w:val="00422353"/>
    <w:rsid w:val="0042589D"/>
    <w:rsid w:val="004304DD"/>
    <w:rsid w:val="00431773"/>
    <w:rsid w:val="0043186C"/>
    <w:rsid w:val="0043475C"/>
    <w:rsid w:val="00437408"/>
    <w:rsid w:val="0043772B"/>
    <w:rsid w:val="004402DD"/>
    <w:rsid w:val="004441EA"/>
    <w:rsid w:val="00447087"/>
    <w:rsid w:val="00451FCD"/>
    <w:rsid w:val="00453070"/>
    <w:rsid w:val="00455026"/>
    <w:rsid w:val="0045639B"/>
    <w:rsid w:val="00461FDF"/>
    <w:rsid w:val="00462FE6"/>
    <w:rsid w:val="00464FBC"/>
    <w:rsid w:val="00466F1A"/>
    <w:rsid w:val="00467379"/>
    <w:rsid w:val="004705CA"/>
    <w:rsid w:val="00471A3C"/>
    <w:rsid w:val="00472275"/>
    <w:rsid w:val="00472316"/>
    <w:rsid w:val="00473C90"/>
    <w:rsid w:val="00474B96"/>
    <w:rsid w:val="00477744"/>
    <w:rsid w:val="00477C44"/>
    <w:rsid w:val="00477E09"/>
    <w:rsid w:val="0048077B"/>
    <w:rsid w:val="00480A75"/>
    <w:rsid w:val="004813A2"/>
    <w:rsid w:val="004816DB"/>
    <w:rsid w:val="00484241"/>
    <w:rsid w:val="00485FD5"/>
    <w:rsid w:val="0049048E"/>
    <w:rsid w:val="0049142C"/>
    <w:rsid w:val="00493007"/>
    <w:rsid w:val="00493F44"/>
    <w:rsid w:val="004952DF"/>
    <w:rsid w:val="004A087C"/>
    <w:rsid w:val="004A2B7F"/>
    <w:rsid w:val="004A64C6"/>
    <w:rsid w:val="004A693C"/>
    <w:rsid w:val="004A6AC4"/>
    <w:rsid w:val="004A78DF"/>
    <w:rsid w:val="004B0A9E"/>
    <w:rsid w:val="004B1333"/>
    <w:rsid w:val="004B1CB6"/>
    <w:rsid w:val="004B40AA"/>
    <w:rsid w:val="004B593B"/>
    <w:rsid w:val="004B733D"/>
    <w:rsid w:val="004B751D"/>
    <w:rsid w:val="004C005D"/>
    <w:rsid w:val="004C0910"/>
    <w:rsid w:val="004C0EE6"/>
    <w:rsid w:val="004C10CE"/>
    <w:rsid w:val="004C1516"/>
    <w:rsid w:val="004C2DA0"/>
    <w:rsid w:val="004C322B"/>
    <w:rsid w:val="004C53D3"/>
    <w:rsid w:val="004C6A31"/>
    <w:rsid w:val="004D250F"/>
    <w:rsid w:val="004D291B"/>
    <w:rsid w:val="004D3BAF"/>
    <w:rsid w:val="004D6042"/>
    <w:rsid w:val="004E162C"/>
    <w:rsid w:val="004E17D7"/>
    <w:rsid w:val="004E2507"/>
    <w:rsid w:val="004E38D3"/>
    <w:rsid w:val="004E39D1"/>
    <w:rsid w:val="004E58DD"/>
    <w:rsid w:val="004E5E12"/>
    <w:rsid w:val="004E6D40"/>
    <w:rsid w:val="004F3EDB"/>
    <w:rsid w:val="004F4225"/>
    <w:rsid w:val="004F578F"/>
    <w:rsid w:val="004F797E"/>
    <w:rsid w:val="00502E1D"/>
    <w:rsid w:val="005032F9"/>
    <w:rsid w:val="00504A7B"/>
    <w:rsid w:val="005053ED"/>
    <w:rsid w:val="00507C7C"/>
    <w:rsid w:val="0051035F"/>
    <w:rsid w:val="005103DA"/>
    <w:rsid w:val="00510917"/>
    <w:rsid w:val="005132E0"/>
    <w:rsid w:val="005137AF"/>
    <w:rsid w:val="005148CC"/>
    <w:rsid w:val="00521FFE"/>
    <w:rsid w:val="00523135"/>
    <w:rsid w:val="00523E27"/>
    <w:rsid w:val="005241A2"/>
    <w:rsid w:val="00524AD0"/>
    <w:rsid w:val="00524EE7"/>
    <w:rsid w:val="005262FC"/>
    <w:rsid w:val="0053050F"/>
    <w:rsid w:val="005305B3"/>
    <w:rsid w:val="005310AD"/>
    <w:rsid w:val="00533207"/>
    <w:rsid w:val="00534EB9"/>
    <w:rsid w:val="005400B6"/>
    <w:rsid w:val="0054085C"/>
    <w:rsid w:val="00541C4B"/>
    <w:rsid w:val="0054543F"/>
    <w:rsid w:val="005470B2"/>
    <w:rsid w:val="005472AC"/>
    <w:rsid w:val="00550C08"/>
    <w:rsid w:val="00551091"/>
    <w:rsid w:val="00553727"/>
    <w:rsid w:val="005552B3"/>
    <w:rsid w:val="00556588"/>
    <w:rsid w:val="00560239"/>
    <w:rsid w:val="00560D71"/>
    <w:rsid w:val="00566253"/>
    <w:rsid w:val="00574B50"/>
    <w:rsid w:val="0057516B"/>
    <w:rsid w:val="00575D18"/>
    <w:rsid w:val="00576783"/>
    <w:rsid w:val="00576D69"/>
    <w:rsid w:val="005810E1"/>
    <w:rsid w:val="00581C0E"/>
    <w:rsid w:val="00583027"/>
    <w:rsid w:val="00583947"/>
    <w:rsid w:val="0058647B"/>
    <w:rsid w:val="00593508"/>
    <w:rsid w:val="00594184"/>
    <w:rsid w:val="005949B4"/>
    <w:rsid w:val="00596B07"/>
    <w:rsid w:val="00597CB1"/>
    <w:rsid w:val="005A0707"/>
    <w:rsid w:val="005A0A73"/>
    <w:rsid w:val="005A0ECC"/>
    <w:rsid w:val="005A203B"/>
    <w:rsid w:val="005A6CFA"/>
    <w:rsid w:val="005A7C60"/>
    <w:rsid w:val="005B10E4"/>
    <w:rsid w:val="005B2154"/>
    <w:rsid w:val="005B24DE"/>
    <w:rsid w:val="005B259A"/>
    <w:rsid w:val="005B6CC5"/>
    <w:rsid w:val="005C143B"/>
    <w:rsid w:val="005C2B88"/>
    <w:rsid w:val="005C50A9"/>
    <w:rsid w:val="005C5EFC"/>
    <w:rsid w:val="005D566B"/>
    <w:rsid w:val="005D6243"/>
    <w:rsid w:val="005E17F5"/>
    <w:rsid w:val="005E1AE3"/>
    <w:rsid w:val="005E3E28"/>
    <w:rsid w:val="005E4F27"/>
    <w:rsid w:val="005E5D03"/>
    <w:rsid w:val="005E6825"/>
    <w:rsid w:val="005F3E9B"/>
    <w:rsid w:val="005F5866"/>
    <w:rsid w:val="00600E9D"/>
    <w:rsid w:val="006012A2"/>
    <w:rsid w:val="00602634"/>
    <w:rsid w:val="006028A7"/>
    <w:rsid w:val="00604636"/>
    <w:rsid w:val="00604A78"/>
    <w:rsid w:val="00607FDE"/>
    <w:rsid w:val="00610155"/>
    <w:rsid w:val="00613A32"/>
    <w:rsid w:val="0061458A"/>
    <w:rsid w:val="00615EE8"/>
    <w:rsid w:val="006203CE"/>
    <w:rsid w:val="006209C3"/>
    <w:rsid w:val="00623081"/>
    <w:rsid w:val="00624DE9"/>
    <w:rsid w:val="00632703"/>
    <w:rsid w:val="00632F28"/>
    <w:rsid w:val="00633030"/>
    <w:rsid w:val="006330DC"/>
    <w:rsid w:val="00633415"/>
    <w:rsid w:val="00635BC4"/>
    <w:rsid w:val="006365A1"/>
    <w:rsid w:val="0063723A"/>
    <w:rsid w:val="00637379"/>
    <w:rsid w:val="00637751"/>
    <w:rsid w:val="006401B5"/>
    <w:rsid w:val="00640F91"/>
    <w:rsid w:val="00642E31"/>
    <w:rsid w:val="00645E0C"/>
    <w:rsid w:val="006462AD"/>
    <w:rsid w:val="0065091B"/>
    <w:rsid w:val="006518F8"/>
    <w:rsid w:val="0065526D"/>
    <w:rsid w:val="00655A44"/>
    <w:rsid w:val="006566FD"/>
    <w:rsid w:val="0066187A"/>
    <w:rsid w:val="00664845"/>
    <w:rsid w:val="00664A8A"/>
    <w:rsid w:val="00665550"/>
    <w:rsid w:val="006660C9"/>
    <w:rsid w:val="006664BD"/>
    <w:rsid w:val="00666C81"/>
    <w:rsid w:val="006709E0"/>
    <w:rsid w:val="006733FE"/>
    <w:rsid w:val="00673D80"/>
    <w:rsid w:val="00676F52"/>
    <w:rsid w:val="00676F98"/>
    <w:rsid w:val="0067765A"/>
    <w:rsid w:val="00680134"/>
    <w:rsid w:val="00681063"/>
    <w:rsid w:val="00681105"/>
    <w:rsid w:val="00681516"/>
    <w:rsid w:val="00682E24"/>
    <w:rsid w:val="00683BC1"/>
    <w:rsid w:val="006840BC"/>
    <w:rsid w:val="00687ADD"/>
    <w:rsid w:val="00690359"/>
    <w:rsid w:val="0069065E"/>
    <w:rsid w:val="00690B54"/>
    <w:rsid w:val="0069216D"/>
    <w:rsid w:val="00692ACE"/>
    <w:rsid w:val="006963DD"/>
    <w:rsid w:val="0069737C"/>
    <w:rsid w:val="00697609"/>
    <w:rsid w:val="006A1F0B"/>
    <w:rsid w:val="006A24BC"/>
    <w:rsid w:val="006A2FBC"/>
    <w:rsid w:val="006A7B8C"/>
    <w:rsid w:val="006B0CF6"/>
    <w:rsid w:val="006B227D"/>
    <w:rsid w:val="006B67B3"/>
    <w:rsid w:val="006C0F37"/>
    <w:rsid w:val="006C40D6"/>
    <w:rsid w:val="006C57ED"/>
    <w:rsid w:val="006D0104"/>
    <w:rsid w:val="006D0D43"/>
    <w:rsid w:val="006D166E"/>
    <w:rsid w:val="006E14EF"/>
    <w:rsid w:val="006E358A"/>
    <w:rsid w:val="006E492C"/>
    <w:rsid w:val="006E5E44"/>
    <w:rsid w:val="006F0813"/>
    <w:rsid w:val="006F2012"/>
    <w:rsid w:val="006F2431"/>
    <w:rsid w:val="006F418B"/>
    <w:rsid w:val="006F43DF"/>
    <w:rsid w:val="007001CB"/>
    <w:rsid w:val="00700DCD"/>
    <w:rsid w:val="00701738"/>
    <w:rsid w:val="00701C9B"/>
    <w:rsid w:val="00703517"/>
    <w:rsid w:val="00711FA2"/>
    <w:rsid w:val="0071638B"/>
    <w:rsid w:val="00717FCE"/>
    <w:rsid w:val="007237C5"/>
    <w:rsid w:val="00723D17"/>
    <w:rsid w:val="00725C52"/>
    <w:rsid w:val="007268F5"/>
    <w:rsid w:val="00727F4D"/>
    <w:rsid w:val="00734182"/>
    <w:rsid w:val="00734C48"/>
    <w:rsid w:val="00734C6A"/>
    <w:rsid w:val="00736287"/>
    <w:rsid w:val="00736BEA"/>
    <w:rsid w:val="007404AF"/>
    <w:rsid w:val="00744A56"/>
    <w:rsid w:val="00746032"/>
    <w:rsid w:val="00747967"/>
    <w:rsid w:val="00747D06"/>
    <w:rsid w:val="0075053F"/>
    <w:rsid w:val="00753611"/>
    <w:rsid w:val="00753ED3"/>
    <w:rsid w:val="00754561"/>
    <w:rsid w:val="00754AC4"/>
    <w:rsid w:val="00755517"/>
    <w:rsid w:val="00755798"/>
    <w:rsid w:val="007568F7"/>
    <w:rsid w:val="00756F7D"/>
    <w:rsid w:val="00757BD1"/>
    <w:rsid w:val="00762D12"/>
    <w:rsid w:val="007635C8"/>
    <w:rsid w:val="007641B4"/>
    <w:rsid w:val="00770F5E"/>
    <w:rsid w:val="00772931"/>
    <w:rsid w:val="00773AA7"/>
    <w:rsid w:val="00780977"/>
    <w:rsid w:val="00781447"/>
    <w:rsid w:val="00781680"/>
    <w:rsid w:val="007828A3"/>
    <w:rsid w:val="00785231"/>
    <w:rsid w:val="00785DFD"/>
    <w:rsid w:val="00790C56"/>
    <w:rsid w:val="00794D78"/>
    <w:rsid w:val="007A0FFE"/>
    <w:rsid w:val="007A1F34"/>
    <w:rsid w:val="007A31AE"/>
    <w:rsid w:val="007A6DC1"/>
    <w:rsid w:val="007B1C79"/>
    <w:rsid w:val="007B1E48"/>
    <w:rsid w:val="007B334D"/>
    <w:rsid w:val="007B5217"/>
    <w:rsid w:val="007C6C8B"/>
    <w:rsid w:val="007D2609"/>
    <w:rsid w:val="007D56F0"/>
    <w:rsid w:val="007D5930"/>
    <w:rsid w:val="007D59A7"/>
    <w:rsid w:val="007D6CE3"/>
    <w:rsid w:val="007D7BBD"/>
    <w:rsid w:val="007E17DC"/>
    <w:rsid w:val="007E52A3"/>
    <w:rsid w:val="007E5DB9"/>
    <w:rsid w:val="007F100B"/>
    <w:rsid w:val="00800025"/>
    <w:rsid w:val="00800A0E"/>
    <w:rsid w:val="00800EDE"/>
    <w:rsid w:val="0080159F"/>
    <w:rsid w:val="00802930"/>
    <w:rsid w:val="00807229"/>
    <w:rsid w:val="00807712"/>
    <w:rsid w:val="00807AA5"/>
    <w:rsid w:val="00811170"/>
    <w:rsid w:val="00812450"/>
    <w:rsid w:val="00813C43"/>
    <w:rsid w:val="00814916"/>
    <w:rsid w:val="00815815"/>
    <w:rsid w:val="00815B4B"/>
    <w:rsid w:val="00815EE4"/>
    <w:rsid w:val="008164DF"/>
    <w:rsid w:val="008175ED"/>
    <w:rsid w:val="00817D71"/>
    <w:rsid w:val="00820D70"/>
    <w:rsid w:val="00824429"/>
    <w:rsid w:val="008261A6"/>
    <w:rsid w:val="00830F9D"/>
    <w:rsid w:val="00831DBA"/>
    <w:rsid w:val="0083477F"/>
    <w:rsid w:val="0083597A"/>
    <w:rsid w:val="008379C9"/>
    <w:rsid w:val="00840759"/>
    <w:rsid w:val="00841419"/>
    <w:rsid w:val="00842F6D"/>
    <w:rsid w:val="008439C6"/>
    <w:rsid w:val="00843B71"/>
    <w:rsid w:val="00844116"/>
    <w:rsid w:val="0084562C"/>
    <w:rsid w:val="00845E4D"/>
    <w:rsid w:val="00846533"/>
    <w:rsid w:val="008466D9"/>
    <w:rsid w:val="008501A4"/>
    <w:rsid w:val="00851CE1"/>
    <w:rsid w:val="00851EA5"/>
    <w:rsid w:val="00852A38"/>
    <w:rsid w:val="00853BAB"/>
    <w:rsid w:val="008566D9"/>
    <w:rsid w:val="00856704"/>
    <w:rsid w:val="00856A04"/>
    <w:rsid w:val="00860BCE"/>
    <w:rsid w:val="0086121B"/>
    <w:rsid w:val="008615C7"/>
    <w:rsid w:val="00861B25"/>
    <w:rsid w:val="00861B2C"/>
    <w:rsid w:val="0086273C"/>
    <w:rsid w:val="00862A07"/>
    <w:rsid w:val="00863330"/>
    <w:rsid w:val="00863592"/>
    <w:rsid w:val="008641B4"/>
    <w:rsid w:val="00864620"/>
    <w:rsid w:val="008668E6"/>
    <w:rsid w:val="00866BFA"/>
    <w:rsid w:val="008719C6"/>
    <w:rsid w:val="00871BA6"/>
    <w:rsid w:val="00872A58"/>
    <w:rsid w:val="00875146"/>
    <w:rsid w:val="00877848"/>
    <w:rsid w:val="00881BAD"/>
    <w:rsid w:val="00885C87"/>
    <w:rsid w:val="00886FF0"/>
    <w:rsid w:val="008902E5"/>
    <w:rsid w:val="00890DB8"/>
    <w:rsid w:val="00892035"/>
    <w:rsid w:val="008941A9"/>
    <w:rsid w:val="008967C3"/>
    <w:rsid w:val="00896AF2"/>
    <w:rsid w:val="008975F5"/>
    <w:rsid w:val="008A2753"/>
    <w:rsid w:val="008B14EF"/>
    <w:rsid w:val="008B2531"/>
    <w:rsid w:val="008B31E5"/>
    <w:rsid w:val="008B3541"/>
    <w:rsid w:val="008B499B"/>
    <w:rsid w:val="008B6177"/>
    <w:rsid w:val="008B754C"/>
    <w:rsid w:val="008C16F7"/>
    <w:rsid w:val="008C2C4E"/>
    <w:rsid w:val="008C680D"/>
    <w:rsid w:val="008D3095"/>
    <w:rsid w:val="008D61A0"/>
    <w:rsid w:val="008D663F"/>
    <w:rsid w:val="008D6DEE"/>
    <w:rsid w:val="008D7BE5"/>
    <w:rsid w:val="008E63FE"/>
    <w:rsid w:val="008E7538"/>
    <w:rsid w:val="008E7BA3"/>
    <w:rsid w:val="008F4CF1"/>
    <w:rsid w:val="008F7669"/>
    <w:rsid w:val="0090492B"/>
    <w:rsid w:val="0090564B"/>
    <w:rsid w:val="009069AE"/>
    <w:rsid w:val="00910362"/>
    <w:rsid w:val="009106A4"/>
    <w:rsid w:val="009133D5"/>
    <w:rsid w:val="00914483"/>
    <w:rsid w:val="00916707"/>
    <w:rsid w:val="00916859"/>
    <w:rsid w:val="00916E1A"/>
    <w:rsid w:val="009172FC"/>
    <w:rsid w:val="00920692"/>
    <w:rsid w:val="0092411A"/>
    <w:rsid w:val="009261DA"/>
    <w:rsid w:val="00927259"/>
    <w:rsid w:val="00927677"/>
    <w:rsid w:val="00931CFE"/>
    <w:rsid w:val="009329BB"/>
    <w:rsid w:val="00932E7E"/>
    <w:rsid w:val="00935AED"/>
    <w:rsid w:val="00937891"/>
    <w:rsid w:val="00937D63"/>
    <w:rsid w:val="009414B2"/>
    <w:rsid w:val="009437E2"/>
    <w:rsid w:val="009450CE"/>
    <w:rsid w:val="00945785"/>
    <w:rsid w:val="00951400"/>
    <w:rsid w:val="00954C74"/>
    <w:rsid w:val="00954E6D"/>
    <w:rsid w:val="00955658"/>
    <w:rsid w:val="009607B4"/>
    <w:rsid w:val="00963CC6"/>
    <w:rsid w:val="00965365"/>
    <w:rsid w:val="009726E0"/>
    <w:rsid w:val="00972F0C"/>
    <w:rsid w:val="00973242"/>
    <w:rsid w:val="00973635"/>
    <w:rsid w:val="0098071D"/>
    <w:rsid w:val="009812FF"/>
    <w:rsid w:val="0098797A"/>
    <w:rsid w:val="00987A82"/>
    <w:rsid w:val="00991152"/>
    <w:rsid w:val="00991E8D"/>
    <w:rsid w:val="009944F2"/>
    <w:rsid w:val="009A0A5C"/>
    <w:rsid w:val="009A2983"/>
    <w:rsid w:val="009A29F7"/>
    <w:rsid w:val="009A2C0D"/>
    <w:rsid w:val="009A63A4"/>
    <w:rsid w:val="009B058C"/>
    <w:rsid w:val="009B12C8"/>
    <w:rsid w:val="009B22D7"/>
    <w:rsid w:val="009B30EB"/>
    <w:rsid w:val="009B3821"/>
    <w:rsid w:val="009B7BB9"/>
    <w:rsid w:val="009C11B6"/>
    <w:rsid w:val="009C1DCE"/>
    <w:rsid w:val="009C2FED"/>
    <w:rsid w:val="009C342B"/>
    <w:rsid w:val="009C71B8"/>
    <w:rsid w:val="009C7A49"/>
    <w:rsid w:val="009D3E87"/>
    <w:rsid w:val="009E1DDB"/>
    <w:rsid w:val="009E2344"/>
    <w:rsid w:val="009F0594"/>
    <w:rsid w:val="009F12F3"/>
    <w:rsid w:val="009F228A"/>
    <w:rsid w:val="009F236A"/>
    <w:rsid w:val="009F2ABB"/>
    <w:rsid w:val="009F2E71"/>
    <w:rsid w:val="009F5434"/>
    <w:rsid w:val="009F646C"/>
    <w:rsid w:val="009F7AB2"/>
    <w:rsid w:val="009F7EEB"/>
    <w:rsid w:val="00A016AB"/>
    <w:rsid w:val="00A02E61"/>
    <w:rsid w:val="00A05AD3"/>
    <w:rsid w:val="00A06133"/>
    <w:rsid w:val="00A06525"/>
    <w:rsid w:val="00A10624"/>
    <w:rsid w:val="00A122C4"/>
    <w:rsid w:val="00A13747"/>
    <w:rsid w:val="00A16D5E"/>
    <w:rsid w:val="00A17DC4"/>
    <w:rsid w:val="00A23927"/>
    <w:rsid w:val="00A25DDF"/>
    <w:rsid w:val="00A267CC"/>
    <w:rsid w:val="00A3197A"/>
    <w:rsid w:val="00A32583"/>
    <w:rsid w:val="00A33C85"/>
    <w:rsid w:val="00A346FA"/>
    <w:rsid w:val="00A34F10"/>
    <w:rsid w:val="00A374B3"/>
    <w:rsid w:val="00A40C2B"/>
    <w:rsid w:val="00A41AD3"/>
    <w:rsid w:val="00A50A38"/>
    <w:rsid w:val="00A512FF"/>
    <w:rsid w:val="00A543BC"/>
    <w:rsid w:val="00A5579F"/>
    <w:rsid w:val="00A572BB"/>
    <w:rsid w:val="00A60A87"/>
    <w:rsid w:val="00A60F6A"/>
    <w:rsid w:val="00A62924"/>
    <w:rsid w:val="00A63E75"/>
    <w:rsid w:val="00A67531"/>
    <w:rsid w:val="00A72728"/>
    <w:rsid w:val="00A731CC"/>
    <w:rsid w:val="00A73D9A"/>
    <w:rsid w:val="00A75872"/>
    <w:rsid w:val="00A7775E"/>
    <w:rsid w:val="00A77768"/>
    <w:rsid w:val="00A83437"/>
    <w:rsid w:val="00A83756"/>
    <w:rsid w:val="00A8412D"/>
    <w:rsid w:val="00A91384"/>
    <w:rsid w:val="00A9195D"/>
    <w:rsid w:val="00A91A5F"/>
    <w:rsid w:val="00A92F81"/>
    <w:rsid w:val="00A938C8"/>
    <w:rsid w:val="00A93C0A"/>
    <w:rsid w:val="00A958B8"/>
    <w:rsid w:val="00AA46F4"/>
    <w:rsid w:val="00AB0758"/>
    <w:rsid w:val="00AB14F8"/>
    <w:rsid w:val="00AB2725"/>
    <w:rsid w:val="00AB2881"/>
    <w:rsid w:val="00AB34E8"/>
    <w:rsid w:val="00AB5230"/>
    <w:rsid w:val="00AB6B0D"/>
    <w:rsid w:val="00AC0796"/>
    <w:rsid w:val="00AC13D1"/>
    <w:rsid w:val="00AC28C5"/>
    <w:rsid w:val="00AC3CC1"/>
    <w:rsid w:val="00AC47EC"/>
    <w:rsid w:val="00AC55B0"/>
    <w:rsid w:val="00AC6BA3"/>
    <w:rsid w:val="00AC7207"/>
    <w:rsid w:val="00AD0165"/>
    <w:rsid w:val="00AD0598"/>
    <w:rsid w:val="00AD266A"/>
    <w:rsid w:val="00AD28C4"/>
    <w:rsid w:val="00AD405C"/>
    <w:rsid w:val="00AD4443"/>
    <w:rsid w:val="00AD56C8"/>
    <w:rsid w:val="00AD6F24"/>
    <w:rsid w:val="00AD755B"/>
    <w:rsid w:val="00AD7717"/>
    <w:rsid w:val="00AE01C2"/>
    <w:rsid w:val="00AE14BD"/>
    <w:rsid w:val="00AE2921"/>
    <w:rsid w:val="00AE3683"/>
    <w:rsid w:val="00AE3C79"/>
    <w:rsid w:val="00AE7BBE"/>
    <w:rsid w:val="00AE7DBB"/>
    <w:rsid w:val="00AF15EB"/>
    <w:rsid w:val="00B010A8"/>
    <w:rsid w:val="00B0254F"/>
    <w:rsid w:val="00B03A00"/>
    <w:rsid w:val="00B0543A"/>
    <w:rsid w:val="00B0730F"/>
    <w:rsid w:val="00B07365"/>
    <w:rsid w:val="00B07C26"/>
    <w:rsid w:val="00B10F91"/>
    <w:rsid w:val="00B111D3"/>
    <w:rsid w:val="00B16CD6"/>
    <w:rsid w:val="00B176A3"/>
    <w:rsid w:val="00B2143E"/>
    <w:rsid w:val="00B22C2E"/>
    <w:rsid w:val="00B23602"/>
    <w:rsid w:val="00B3223D"/>
    <w:rsid w:val="00B3289B"/>
    <w:rsid w:val="00B33121"/>
    <w:rsid w:val="00B33AC9"/>
    <w:rsid w:val="00B34DB3"/>
    <w:rsid w:val="00B35AA1"/>
    <w:rsid w:val="00B42C81"/>
    <w:rsid w:val="00B45F38"/>
    <w:rsid w:val="00B46C36"/>
    <w:rsid w:val="00B51025"/>
    <w:rsid w:val="00B51BAF"/>
    <w:rsid w:val="00B52746"/>
    <w:rsid w:val="00B55C92"/>
    <w:rsid w:val="00B563E5"/>
    <w:rsid w:val="00B60899"/>
    <w:rsid w:val="00B60DB0"/>
    <w:rsid w:val="00B63054"/>
    <w:rsid w:val="00B63107"/>
    <w:rsid w:val="00B66272"/>
    <w:rsid w:val="00B66772"/>
    <w:rsid w:val="00B701F1"/>
    <w:rsid w:val="00B7214D"/>
    <w:rsid w:val="00B733B8"/>
    <w:rsid w:val="00B73994"/>
    <w:rsid w:val="00B7426D"/>
    <w:rsid w:val="00B747C9"/>
    <w:rsid w:val="00B74822"/>
    <w:rsid w:val="00B76F2A"/>
    <w:rsid w:val="00B771DA"/>
    <w:rsid w:val="00B77AD5"/>
    <w:rsid w:val="00B80143"/>
    <w:rsid w:val="00B81C28"/>
    <w:rsid w:val="00B827F0"/>
    <w:rsid w:val="00B82C4B"/>
    <w:rsid w:val="00B83576"/>
    <w:rsid w:val="00B84162"/>
    <w:rsid w:val="00B8422B"/>
    <w:rsid w:val="00B8440E"/>
    <w:rsid w:val="00B84B55"/>
    <w:rsid w:val="00B86FF1"/>
    <w:rsid w:val="00B87DC7"/>
    <w:rsid w:val="00B900D2"/>
    <w:rsid w:val="00B90728"/>
    <w:rsid w:val="00B92C4C"/>
    <w:rsid w:val="00B92FE6"/>
    <w:rsid w:val="00BA4715"/>
    <w:rsid w:val="00BA4943"/>
    <w:rsid w:val="00BA4DE3"/>
    <w:rsid w:val="00BA585E"/>
    <w:rsid w:val="00BB31E6"/>
    <w:rsid w:val="00BB4636"/>
    <w:rsid w:val="00BB4C85"/>
    <w:rsid w:val="00BB55CF"/>
    <w:rsid w:val="00BB5E1F"/>
    <w:rsid w:val="00BB718C"/>
    <w:rsid w:val="00BC1A88"/>
    <w:rsid w:val="00BC634E"/>
    <w:rsid w:val="00BC678E"/>
    <w:rsid w:val="00BC67CF"/>
    <w:rsid w:val="00BD0839"/>
    <w:rsid w:val="00BD264F"/>
    <w:rsid w:val="00BD2B29"/>
    <w:rsid w:val="00BD428C"/>
    <w:rsid w:val="00BD60E9"/>
    <w:rsid w:val="00BD66F9"/>
    <w:rsid w:val="00BD7B18"/>
    <w:rsid w:val="00BD7C54"/>
    <w:rsid w:val="00BE2917"/>
    <w:rsid w:val="00BE30CB"/>
    <w:rsid w:val="00BE5895"/>
    <w:rsid w:val="00BE726E"/>
    <w:rsid w:val="00BF05E4"/>
    <w:rsid w:val="00BF0823"/>
    <w:rsid w:val="00BF1E62"/>
    <w:rsid w:val="00BF2724"/>
    <w:rsid w:val="00BF4C5B"/>
    <w:rsid w:val="00BF6285"/>
    <w:rsid w:val="00C03AA2"/>
    <w:rsid w:val="00C044FF"/>
    <w:rsid w:val="00C07698"/>
    <w:rsid w:val="00C07EBB"/>
    <w:rsid w:val="00C14A39"/>
    <w:rsid w:val="00C1603A"/>
    <w:rsid w:val="00C16D35"/>
    <w:rsid w:val="00C175F6"/>
    <w:rsid w:val="00C20EEB"/>
    <w:rsid w:val="00C224CC"/>
    <w:rsid w:val="00C2268F"/>
    <w:rsid w:val="00C25BF7"/>
    <w:rsid w:val="00C25E3A"/>
    <w:rsid w:val="00C32C9B"/>
    <w:rsid w:val="00C33951"/>
    <w:rsid w:val="00C34F14"/>
    <w:rsid w:val="00C352F5"/>
    <w:rsid w:val="00C41627"/>
    <w:rsid w:val="00C46E00"/>
    <w:rsid w:val="00C503D9"/>
    <w:rsid w:val="00C51F6F"/>
    <w:rsid w:val="00C52B81"/>
    <w:rsid w:val="00C559A8"/>
    <w:rsid w:val="00C57D25"/>
    <w:rsid w:val="00C600C1"/>
    <w:rsid w:val="00C60A87"/>
    <w:rsid w:val="00C62411"/>
    <w:rsid w:val="00C63F32"/>
    <w:rsid w:val="00C64E82"/>
    <w:rsid w:val="00C71222"/>
    <w:rsid w:val="00C741B0"/>
    <w:rsid w:val="00C7496B"/>
    <w:rsid w:val="00C7624B"/>
    <w:rsid w:val="00C81E6C"/>
    <w:rsid w:val="00C826F1"/>
    <w:rsid w:val="00C826FF"/>
    <w:rsid w:val="00C842BD"/>
    <w:rsid w:val="00C876D0"/>
    <w:rsid w:val="00C87BB7"/>
    <w:rsid w:val="00C87C39"/>
    <w:rsid w:val="00C906B3"/>
    <w:rsid w:val="00C91122"/>
    <w:rsid w:val="00C93496"/>
    <w:rsid w:val="00C945AE"/>
    <w:rsid w:val="00C96452"/>
    <w:rsid w:val="00C97A93"/>
    <w:rsid w:val="00CA043C"/>
    <w:rsid w:val="00CA1062"/>
    <w:rsid w:val="00CA3854"/>
    <w:rsid w:val="00CA45D1"/>
    <w:rsid w:val="00CB1B9C"/>
    <w:rsid w:val="00CB4307"/>
    <w:rsid w:val="00CB5C45"/>
    <w:rsid w:val="00CB5C95"/>
    <w:rsid w:val="00CB6CF4"/>
    <w:rsid w:val="00CC158A"/>
    <w:rsid w:val="00CC2626"/>
    <w:rsid w:val="00CC4825"/>
    <w:rsid w:val="00CD06A1"/>
    <w:rsid w:val="00CD27EC"/>
    <w:rsid w:val="00CD4AF7"/>
    <w:rsid w:val="00CD4D12"/>
    <w:rsid w:val="00CD6230"/>
    <w:rsid w:val="00CD79C7"/>
    <w:rsid w:val="00CE1DD9"/>
    <w:rsid w:val="00CE1E1D"/>
    <w:rsid w:val="00CE2C86"/>
    <w:rsid w:val="00CE3D91"/>
    <w:rsid w:val="00CE51F9"/>
    <w:rsid w:val="00CF037B"/>
    <w:rsid w:val="00CF16D8"/>
    <w:rsid w:val="00CF2B35"/>
    <w:rsid w:val="00CF69D9"/>
    <w:rsid w:val="00D01160"/>
    <w:rsid w:val="00D0154F"/>
    <w:rsid w:val="00D0302C"/>
    <w:rsid w:val="00D05AC6"/>
    <w:rsid w:val="00D12902"/>
    <w:rsid w:val="00D1692A"/>
    <w:rsid w:val="00D172D8"/>
    <w:rsid w:val="00D24231"/>
    <w:rsid w:val="00D24381"/>
    <w:rsid w:val="00D245FB"/>
    <w:rsid w:val="00D248B6"/>
    <w:rsid w:val="00D24B30"/>
    <w:rsid w:val="00D30285"/>
    <w:rsid w:val="00D30BEF"/>
    <w:rsid w:val="00D31847"/>
    <w:rsid w:val="00D31F8A"/>
    <w:rsid w:val="00D33012"/>
    <w:rsid w:val="00D333E9"/>
    <w:rsid w:val="00D33D85"/>
    <w:rsid w:val="00D346A8"/>
    <w:rsid w:val="00D3571C"/>
    <w:rsid w:val="00D379DC"/>
    <w:rsid w:val="00D413DB"/>
    <w:rsid w:val="00D4580C"/>
    <w:rsid w:val="00D46DCE"/>
    <w:rsid w:val="00D47C9C"/>
    <w:rsid w:val="00D50CB8"/>
    <w:rsid w:val="00D51164"/>
    <w:rsid w:val="00D51F7A"/>
    <w:rsid w:val="00D53185"/>
    <w:rsid w:val="00D53743"/>
    <w:rsid w:val="00D539CE"/>
    <w:rsid w:val="00D53D6D"/>
    <w:rsid w:val="00D542FE"/>
    <w:rsid w:val="00D5713F"/>
    <w:rsid w:val="00D57B76"/>
    <w:rsid w:val="00D6070A"/>
    <w:rsid w:val="00D62ED4"/>
    <w:rsid w:val="00D63D4B"/>
    <w:rsid w:val="00D67E1C"/>
    <w:rsid w:val="00D71538"/>
    <w:rsid w:val="00D74275"/>
    <w:rsid w:val="00D752D0"/>
    <w:rsid w:val="00D756C3"/>
    <w:rsid w:val="00D760DD"/>
    <w:rsid w:val="00D77CFA"/>
    <w:rsid w:val="00D81607"/>
    <w:rsid w:val="00D82A67"/>
    <w:rsid w:val="00D867F4"/>
    <w:rsid w:val="00D9015D"/>
    <w:rsid w:val="00D91B9C"/>
    <w:rsid w:val="00D930D8"/>
    <w:rsid w:val="00D952C5"/>
    <w:rsid w:val="00D967A3"/>
    <w:rsid w:val="00DA138E"/>
    <w:rsid w:val="00DA190F"/>
    <w:rsid w:val="00DA1D81"/>
    <w:rsid w:val="00DA2674"/>
    <w:rsid w:val="00DA3C18"/>
    <w:rsid w:val="00DA672A"/>
    <w:rsid w:val="00DB08F5"/>
    <w:rsid w:val="00DB0EA5"/>
    <w:rsid w:val="00DB24A2"/>
    <w:rsid w:val="00DB4E58"/>
    <w:rsid w:val="00DB5FD3"/>
    <w:rsid w:val="00DB65A9"/>
    <w:rsid w:val="00DB6F66"/>
    <w:rsid w:val="00DC1A15"/>
    <w:rsid w:val="00DC28BD"/>
    <w:rsid w:val="00DC31CA"/>
    <w:rsid w:val="00DC3CF8"/>
    <w:rsid w:val="00DC4B17"/>
    <w:rsid w:val="00DC5F56"/>
    <w:rsid w:val="00DC6126"/>
    <w:rsid w:val="00DC759D"/>
    <w:rsid w:val="00DD033C"/>
    <w:rsid w:val="00DD0382"/>
    <w:rsid w:val="00DD368C"/>
    <w:rsid w:val="00DD4330"/>
    <w:rsid w:val="00DD52FF"/>
    <w:rsid w:val="00DD54E1"/>
    <w:rsid w:val="00DD5ACA"/>
    <w:rsid w:val="00DE0A46"/>
    <w:rsid w:val="00DE3598"/>
    <w:rsid w:val="00DE4CFB"/>
    <w:rsid w:val="00DE7667"/>
    <w:rsid w:val="00DF1214"/>
    <w:rsid w:val="00DF42BF"/>
    <w:rsid w:val="00DF4532"/>
    <w:rsid w:val="00DF4548"/>
    <w:rsid w:val="00DF4D94"/>
    <w:rsid w:val="00DF6393"/>
    <w:rsid w:val="00DF67F9"/>
    <w:rsid w:val="00DF793C"/>
    <w:rsid w:val="00E015BE"/>
    <w:rsid w:val="00E02D86"/>
    <w:rsid w:val="00E0627B"/>
    <w:rsid w:val="00E06A79"/>
    <w:rsid w:val="00E11047"/>
    <w:rsid w:val="00E1175C"/>
    <w:rsid w:val="00E131F9"/>
    <w:rsid w:val="00E14DF8"/>
    <w:rsid w:val="00E1594A"/>
    <w:rsid w:val="00E159AE"/>
    <w:rsid w:val="00E16680"/>
    <w:rsid w:val="00E16ABF"/>
    <w:rsid w:val="00E170D8"/>
    <w:rsid w:val="00E211FA"/>
    <w:rsid w:val="00E2193E"/>
    <w:rsid w:val="00E22692"/>
    <w:rsid w:val="00E22BDD"/>
    <w:rsid w:val="00E22D0D"/>
    <w:rsid w:val="00E246BC"/>
    <w:rsid w:val="00E24D8A"/>
    <w:rsid w:val="00E26765"/>
    <w:rsid w:val="00E26B00"/>
    <w:rsid w:val="00E27746"/>
    <w:rsid w:val="00E27829"/>
    <w:rsid w:val="00E30A7F"/>
    <w:rsid w:val="00E32FEB"/>
    <w:rsid w:val="00E349C2"/>
    <w:rsid w:val="00E3791A"/>
    <w:rsid w:val="00E37974"/>
    <w:rsid w:val="00E41633"/>
    <w:rsid w:val="00E4194C"/>
    <w:rsid w:val="00E41E97"/>
    <w:rsid w:val="00E45347"/>
    <w:rsid w:val="00E4686C"/>
    <w:rsid w:val="00E52A93"/>
    <w:rsid w:val="00E535DC"/>
    <w:rsid w:val="00E5495D"/>
    <w:rsid w:val="00E5562B"/>
    <w:rsid w:val="00E60275"/>
    <w:rsid w:val="00E60F1F"/>
    <w:rsid w:val="00E63CBA"/>
    <w:rsid w:val="00E64CB9"/>
    <w:rsid w:val="00E661B2"/>
    <w:rsid w:val="00E667FF"/>
    <w:rsid w:val="00E71DAB"/>
    <w:rsid w:val="00E723CF"/>
    <w:rsid w:val="00E72691"/>
    <w:rsid w:val="00E73C08"/>
    <w:rsid w:val="00E7489F"/>
    <w:rsid w:val="00E75AE0"/>
    <w:rsid w:val="00E80C35"/>
    <w:rsid w:val="00E825A4"/>
    <w:rsid w:val="00E86671"/>
    <w:rsid w:val="00E91AD2"/>
    <w:rsid w:val="00E9311A"/>
    <w:rsid w:val="00E950A0"/>
    <w:rsid w:val="00E95334"/>
    <w:rsid w:val="00EA2680"/>
    <w:rsid w:val="00EA420A"/>
    <w:rsid w:val="00EA4498"/>
    <w:rsid w:val="00EA6FC1"/>
    <w:rsid w:val="00EB43A3"/>
    <w:rsid w:val="00EB5E29"/>
    <w:rsid w:val="00EB6DBE"/>
    <w:rsid w:val="00EC0C6C"/>
    <w:rsid w:val="00EC255D"/>
    <w:rsid w:val="00EC2BEB"/>
    <w:rsid w:val="00EC4356"/>
    <w:rsid w:val="00EC4C97"/>
    <w:rsid w:val="00EC555F"/>
    <w:rsid w:val="00EC59AF"/>
    <w:rsid w:val="00EC5D64"/>
    <w:rsid w:val="00EC6C5C"/>
    <w:rsid w:val="00ED16D9"/>
    <w:rsid w:val="00ED1E32"/>
    <w:rsid w:val="00ED3E7F"/>
    <w:rsid w:val="00ED3F8D"/>
    <w:rsid w:val="00ED556B"/>
    <w:rsid w:val="00ED633B"/>
    <w:rsid w:val="00ED7A78"/>
    <w:rsid w:val="00EE1C09"/>
    <w:rsid w:val="00EE3906"/>
    <w:rsid w:val="00EE480A"/>
    <w:rsid w:val="00EE50B8"/>
    <w:rsid w:val="00EE5751"/>
    <w:rsid w:val="00EE59AB"/>
    <w:rsid w:val="00EE70EC"/>
    <w:rsid w:val="00EF0277"/>
    <w:rsid w:val="00EF0769"/>
    <w:rsid w:val="00EF32D9"/>
    <w:rsid w:val="00EF7580"/>
    <w:rsid w:val="00F00884"/>
    <w:rsid w:val="00F00904"/>
    <w:rsid w:val="00F00C34"/>
    <w:rsid w:val="00F01FD5"/>
    <w:rsid w:val="00F03B88"/>
    <w:rsid w:val="00F03DD3"/>
    <w:rsid w:val="00F04CB6"/>
    <w:rsid w:val="00F05691"/>
    <w:rsid w:val="00F05B93"/>
    <w:rsid w:val="00F0774B"/>
    <w:rsid w:val="00F079EE"/>
    <w:rsid w:val="00F117E6"/>
    <w:rsid w:val="00F1487D"/>
    <w:rsid w:val="00F165CB"/>
    <w:rsid w:val="00F1713B"/>
    <w:rsid w:val="00F17350"/>
    <w:rsid w:val="00F17F9C"/>
    <w:rsid w:val="00F21A5B"/>
    <w:rsid w:val="00F22631"/>
    <w:rsid w:val="00F23D12"/>
    <w:rsid w:val="00F24028"/>
    <w:rsid w:val="00F267B4"/>
    <w:rsid w:val="00F30AE1"/>
    <w:rsid w:val="00F30FAA"/>
    <w:rsid w:val="00F34715"/>
    <w:rsid w:val="00F34A18"/>
    <w:rsid w:val="00F37DA9"/>
    <w:rsid w:val="00F416DA"/>
    <w:rsid w:val="00F43A5B"/>
    <w:rsid w:val="00F44951"/>
    <w:rsid w:val="00F45F62"/>
    <w:rsid w:val="00F5257E"/>
    <w:rsid w:val="00F60BF0"/>
    <w:rsid w:val="00F6434C"/>
    <w:rsid w:val="00F6434F"/>
    <w:rsid w:val="00F65D81"/>
    <w:rsid w:val="00F6654C"/>
    <w:rsid w:val="00F72A9F"/>
    <w:rsid w:val="00F73175"/>
    <w:rsid w:val="00F7557B"/>
    <w:rsid w:val="00F7711F"/>
    <w:rsid w:val="00F809B3"/>
    <w:rsid w:val="00F80FE8"/>
    <w:rsid w:val="00F81575"/>
    <w:rsid w:val="00F81FD6"/>
    <w:rsid w:val="00F84BCB"/>
    <w:rsid w:val="00F85A1F"/>
    <w:rsid w:val="00F871DA"/>
    <w:rsid w:val="00F877C2"/>
    <w:rsid w:val="00F93585"/>
    <w:rsid w:val="00F96C7C"/>
    <w:rsid w:val="00F96CD3"/>
    <w:rsid w:val="00FA300D"/>
    <w:rsid w:val="00FA3E86"/>
    <w:rsid w:val="00FA4BC8"/>
    <w:rsid w:val="00FA534F"/>
    <w:rsid w:val="00FA5CF4"/>
    <w:rsid w:val="00FA7F89"/>
    <w:rsid w:val="00FB28FC"/>
    <w:rsid w:val="00FB387E"/>
    <w:rsid w:val="00FB69A6"/>
    <w:rsid w:val="00FC3523"/>
    <w:rsid w:val="00FC40B0"/>
    <w:rsid w:val="00FC5B2F"/>
    <w:rsid w:val="00FC6502"/>
    <w:rsid w:val="00FC7EE9"/>
    <w:rsid w:val="00FD108F"/>
    <w:rsid w:val="00FD1ABE"/>
    <w:rsid w:val="00FD252E"/>
    <w:rsid w:val="00FD26E6"/>
    <w:rsid w:val="00FD2D04"/>
    <w:rsid w:val="00FD432D"/>
    <w:rsid w:val="00FD482B"/>
    <w:rsid w:val="00FE0124"/>
    <w:rsid w:val="00FE0BB7"/>
    <w:rsid w:val="00FE2711"/>
    <w:rsid w:val="00FE3CC4"/>
    <w:rsid w:val="00FF05D4"/>
    <w:rsid w:val="00FF3390"/>
    <w:rsid w:val="00FF4A8C"/>
    <w:rsid w:val="00FF5373"/>
    <w:rsid w:val="00FF68D7"/>
    <w:rsid w:val="44532B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0FD8"/>
  <w15:docId w15:val="{66EF6835-234A-43AC-8BDE-38F295F3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line="259" w:lineRule="auto"/>
      <w:ind w:left="720" w:hanging="720"/>
      <w:outlineLvl w:val="2"/>
    </w:pPr>
    <w:rPr>
      <w:rFonts w:asciiTheme="majorHAnsi" w:eastAsiaTheme="majorEastAsia" w:hAnsiTheme="majorHAnsi" w:cstheme="majorBidi"/>
      <w:color w:val="1F4E79" w:themeColor="accent1" w:themeShade="80"/>
      <w:sz w:val="24"/>
      <w:szCs w:val="24"/>
      <w:lang w:val="fr-CH"/>
    </w:rPr>
  </w:style>
  <w:style w:type="paragraph" w:styleId="Heading4">
    <w:name w:val="heading 4"/>
    <w:basedOn w:val="Normal"/>
    <w:next w:val="Normal"/>
    <w:link w:val="Heading4Char"/>
    <w:uiPriority w:val="9"/>
    <w:semiHidden/>
    <w:unhideWhenUsed/>
    <w:qFormat/>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sz w:val="24"/>
      <w:lang w:val="fr-CH"/>
    </w:rPr>
  </w:style>
  <w:style w:type="paragraph" w:styleId="Heading5">
    <w:name w:val="heading 5"/>
    <w:basedOn w:val="Normal"/>
    <w:next w:val="Normal"/>
    <w:link w:val="Heading5Char"/>
    <w:uiPriority w:val="9"/>
    <w:semiHidden/>
    <w:unhideWhenUsed/>
    <w:qFormat/>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sz w:val="24"/>
      <w:lang w:val="fr-CH"/>
    </w:rPr>
  </w:style>
  <w:style w:type="paragraph" w:styleId="Heading6">
    <w:name w:val="heading 6"/>
    <w:basedOn w:val="Normal"/>
    <w:next w:val="Normal"/>
    <w:link w:val="Heading6Char"/>
    <w:uiPriority w:val="9"/>
    <w:semiHidden/>
    <w:unhideWhenUsed/>
    <w:qFormat/>
    <w:pPr>
      <w:keepNext/>
      <w:keepLines/>
      <w:spacing w:before="40" w:after="0" w:line="259" w:lineRule="auto"/>
      <w:ind w:left="1152" w:hanging="1152"/>
      <w:outlineLvl w:val="5"/>
    </w:pPr>
    <w:rPr>
      <w:rFonts w:asciiTheme="majorHAnsi" w:eastAsiaTheme="majorEastAsia" w:hAnsiTheme="majorHAnsi" w:cstheme="majorBidi"/>
      <w:color w:val="1F4E79" w:themeColor="accent1" w:themeShade="80"/>
      <w:sz w:val="24"/>
      <w:lang w:val="fr-CH"/>
    </w:rPr>
  </w:style>
  <w:style w:type="paragraph" w:styleId="Heading7">
    <w:name w:val="heading 7"/>
    <w:basedOn w:val="Normal"/>
    <w:next w:val="Normal"/>
    <w:link w:val="Heading7Char"/>
    <w:uiPriority w:val="9"/>
    <w:semiHidden/>
    <w:unhideWhenUsed/>
    <w:qFormat/>
    <w:pPr>
      <w:keepNext/>
      <w:keepLines/>
      <w:spacing w:before="40" w:after="0" w:line="259" w:lineRule="auto"/>
      <w:ind w:left="1296" w:hanging="1296"/>
      <w:outlineLvl w:val="6"/>
    </w:pPr>
    <w:rPr>
      <w:rFonts w:asciiTheme="majorHAnsi" w:eastAsiaTheme="majorEastAsia" w:hAnsiTheme="majorHAnsi" w:cstheme="majorBidi"/>
      <w:i/>
      <w:iCs/>
      <w:color w:val="1F4E79" w:themeColor="accent1" w:themeShade="80"/>
      <w:sz w:val="24"/>
      <w:lang w:val="fr-CH"/>
    </w:rPr>
  </w:style>
  <w:style w:type="paragraph" w:styleId="Heading8">
    <w:name w:val="heading 8"/>
    <w:basedOn w:val="Normal"/>
    <w:next w:val="Normal"/>
    <w:link w:val="Heading8Char"/>
    <w:uiPriority w:val="9"/>
    <w:semiHidden/>
    <w:unhideWhenUsed/>
    <w:qFormat/>
    <w:pPr>
      <w:keepNext/>
      <w:keepLines/>
      <w:spacing w:before="40" w:after="0" w:line="259" w:lineRule="auto"/>
      <w:ind w:left="1440" w:hanging="1440"/>
      <w:outlineLvl w:val="7"/>
    </w:pPr>
    <w:rPr>
      <w:rFonts w:asciiTheme="majorHAnsi" w:eastAsiaTheme="majorEastAsia" w:hAnsiTheme="majorHAnsi" w:cstheme="majorBidi"/>
      <w:color w:val="262626" w:themeColor="text1" w:themeTint="D9"/>
      <w:sz w:val="21"/>
      <w:szCs w:val="21"/>
      <w:lang w:val="fr-CH"/>
    </w:rPr>
  </w:style>
  <w:style w:type="paragraph" w:styleId="Heading9">
    <w:name w:val="heading 9"/>
    <w:basedOn w:val="Normal"/>
    <w:next w:val="Normal"/>
    <w:link w:val="Heading9Char"/>
    <w:uiPriority w:val="9"/>
    <w:semiHidden/>
    <w:unhideWhenUsed/>
    <w:qFormat/>
    <w:pPr>
      <w:keepNext/>
      <w:keepLines/>
      <w:spacing w:before="40" w:after="0" w:line="259" w:lineRule="auto"/>
      <w:ind w:left="1584" w:hanging="1584"/>
      <w:outlineLvl w:val="8"/>
    </w:pPr>
    <w:rPr>
      <w:rFonts w:asciiTheme="majorHAnsi" w:eastAsiaTheme="majorEastAsia" w:hAnsiTheme="majorHAnsi" w:cstheme="majorBidi"/>
      <w:i/>
      <w:iCs/>
      <w:color w:val="262626" w:themeColor="text1" w:themeTint="D9"/>
      <w:sz w:val="21"/>
      <w:szCs w:val="21"/>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eastAsiaTheme="minorHAns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sz w:val="24"/>
      <w:szCs w:val="24"/>
      <w:lang w:bidi="en-US"/>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lang w:val="en-GB"/>
    </w:rPr>
  </w:style>
  <w:style w:type="paragraph" w:styleId="CommentSubject">
    <w:name w:val="annotation subject"/>
    <w:basedOn w:val="CommentText"/>
    <w:next w:val="CommentText"/>
    <w:link w:val="CommentSubjectChar"/>
    <w:uiPriority w:val="99"/>
    <w:semiHidden/>
    <w:unhideWhenUsed/>
    <w:qFormat/>
    <w:rPr>
      <w:b/>
      <w:bCs/>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sv-SE" w:eastAsia="sv-SE"/>
    </w:rPr>
  </w:style>
  <w:style w:type="character" w:styleId="PageNumber">
    <w:name w:val="page number"/>
    <w:basedOn w:val="DefaultParagraphFont"/>
    <w:semiHidden/>
    <w:unhideWhenUsed/>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aliases w:val="References,Bullets,Title Style 1,Numbered List Paragraph,lp1,Liste 1,ReferencesCxSpLast,Medium Grid 1 - Accent 21,List Bullet Mary,List Paragraph 1,Akapit z listą BS,Numbered Paragraph,Main numbered paragraph,123 List Paragraph,numbered,L"/>
    <w:basedOn w:val="Normal"/>
    <w:link w:val="ListParagraphChar"/>
    <w:uiPriority w:val="34"/>
    <w:qFormat/>
    <w:pPr>
      <w:spacing w:after="0" w:line="240" w:lineRule="auto"/>
      <w:ind w:left="720"/>
      <w:contextualSpacing/>
    </w:pPr>
    <w:rPr>
      <w:rFonts w:ascii="Times New Roman" w:eastAsia="SimSun" w:hAnsi="Times New Roman"/>
      <w:sz w:val="24"/>
      <w:szCs w:val="24"/>
      <w:lang w:val="en-GB" w:eastAsia="zh-CN"/>
    </w:rPr>
  </w:style>
  <w:style w:type="character" w:customStyle="1" w:styleId="ListParagraphChar">
    <w:name w:val="List Paragraph Char"/>
    <w:aliases w:val="References Char,Bullets Char,Title Style 1 Char,Numbered List Paragraph Char,lp1 Char,Liste 1 Char,ReferencesCxSpLast Char,Medium Grid 1 - Accent 21 Char,List Bullet Mary Char,List Paragraph 1 Char,Akapit z listą BS Char,L Char"/>
    <w:link w:val="ListParagraph"/>
    <w:uiPriority w:val="34"/>
    <w:qFormat/>
    <w:locked/>
    <w:rPr>
      <w:rFonts w:ascii="Times New Roman" w:eastAsia="SimSun" w:hAnsi="Times New Roman" w:cs="Times New Roman"/>
      <w:sz w:val="24"/>
      <w:szCs w:val="24"/>
      <w:lang w:val="en-GB" w:eastAsia="zh-CN"/>
    </w:rPr>
  </w:style>
  <w:style w:type="paragraph" w:styleId="NoSpacing">
    <w:name w:val="No Spacing"/>
    <w:uiPriority w:val="1"/>
    <w:qFormat/>
    <w:rPr>
      <w:rFonts w:ascii="Calibri" w:eastAsia="Calibri" w:hAnsi="Calibri" w:cs="Times New Roman"/>
      <w:sz w:val="22"/>
      <w:szCs w:val="22"/>
    </w:rPr>
  </w:style>
  <w:style w:type="character" w:customStyle="1" w:styleId="FootnoteTextChar">
    <w:name w:val="Footnote Text Char"/>
    <w:basedOn w:val="DefaultParagraphFont"/>
    <w:link w:val="FootnoteText"/>
    <w:uiPriority w:val="99"/>
    <w:semiHidden/>
    <w:qFormat/>
    <w:rPr>
      <w:rFonts w:ascii="Calibri" w:eastAsia="Calibri" w:hAnsi="Calibri" w:cs="Times New Roman"/>
      <w:sz w:val="20"/>
      <w:szCs w:val="20"/>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lang w:val="en-GB"/>
    </w:rPr>
  </w:style>
  <w:style w:type="paragraph" w:customStyle="1" w:styleId="Default">
    <w:name w:val="Default"/>
    <w:link w:val="LeiptekstiChar"/>
    <w:qFormat/>
    <w:pPr>
      <w:autoSpaceDE w:val="0"/>
      <w:autoSpaceDN w:val="0"/>
      <w:adjustRightInd w:val="0"/>
    </w:pPr>
    <w:rPr>
      <w:rFonts w:ascii="Calibri" w:eastAsia="Times New Roman" w:hAnsi="Calibri" w:cs="Calibri"/>
      <w:color w:val="000000"/>
      <w:sz w:val="24"/>
      <w:szCs w:val="24"/>
    </w:rPr>
  </w:style>
  <w:style w:type="character" w:customStyle="1" w:styleId="normalchar1">
    <w:name w:val="normal__char1"/>
    <w:uiPriority w:val="99"/>
    <w:qFormat/>
    <w:rPr>
      <w:rFonts w:ascii="Calibri" w:hAnsi="Calibri" w:cs="Calibri"/>
      <w:sz w:val="22"/>
      <w:szCs w:val="22"/>
    </w:rPr>
  </w:style>
  <w:style w:type="character" w:customStyle="1" w:styleId="LeiptekstiChar">
    <w:name w:val="Leipäteksti Char"/>
    <w:link w:val="Default"/>
    <w:qFormat/>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BodyTextChar">
    <w:name w:val="Body Text Char"/>
    <w:basedOn w:val="DefaultParagraphFont"/>
    <w:link w:val="BodyText"/>
    <w:uiPriority w:val="1"/>
    <w:qFormat/>
    <w:rPr>
      <w:rFonts w:ascii="Trebuchet MS" w:eastAsia="Trebuchet MS" w:hAnsi="Trebuchet MS" w:cs="Trebuchet MS"/>
      <w:sz w:val="24"/>
      <w:szCs w:val="24"/>
      <w:lang w:bidi="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lang w:val="en-GB"/>
    </w:rPr>
  </w:style>
  <w:style w:type="character" w:customStyle="1" w:styleId="None">
    <w:name w:val="None"/>
    <w:qFormat/>
  </w:style>
  <w:style w:type="paragraph" w:customStyle="1" w:styleId="Revision1">
    <w:name w:val="Revision1"/>
    <w:hidden/>
    <w:uiPriority w:val="99"/>
    <w:semiHidden/>
    <w:qFormat/>
    <w:rPr>
      <w:rFonts w:ascii="Calibri" w:eastAsia="Calibri" w:hAnsi="Calibri" w:cs="Times New Roman"/>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fr-CH"/>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lang w:val="fr-CH"/>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sz w:val="24"/>
      <w:lang w:val="fr-CH"/>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sz w:val="24"/>
      <w:lang w:val="fr-CH"/>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4"/>
      <w:lang w:val="fr-CH"/>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fr-CH"/>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fr-CH"/>
    </w:rPr>
  </w:style>
  <w:style w:type="character" w:customStyle="1" w:styleId="normaltextrun">
    <w:name w:val="normaltextrun"/>
    <w:basedOn w:val="DefaultParagraphFont"/>
    <w:qFormat/>
  </w:style>
  <w:style w:type="paragraph" w:customStyle="1" w:styleId="whitespace-pre-wrap">
    <w:name w:val="whitespace-pre-wrap"/>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whitespace-normal">
    <w:name w:val="whitespace-normal"/>
    <w:basedOn w:val="Normal"/>
    <w:qFormat/>
    <w:pPr>
      <w:spacing w:before="100" w:beforeAutospacing="1" w:after="100" w:afterAutospacing="1" w:line="240" w:lineRule="auto"/>
    </w:pPr>
    <w:rPr>
      <w:rFonts w:ascii="Times New Roman" w:eastAsia="Times New Roman" w:hAnsi="Times New Roman"/>
      <w:sz w:val="24"/>
      <w:szCs w:val="24"/>
    </w:rPr>
  </w:style>
  <w:style w:type="table" w:customStyle="1" w:styleId="PlainTable21">
    <w:name w:val="Plain Table 21"/>
    <w:basedOn w:val="TableNormal"/>
    <w:uiPriority w:val="42"/>
    <w:qFormat/>
    <w:rPr>
      <w:rFonts w:ascii="Times New Roman" w:eastAsia="SimSun" w:hAnsi="Times New Roman" w:cs="Times New Roma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acimagecontainer">
    <w:name w:val="wacimagecontainer"/>
    <w:basedOn w:val="DefaultParagraphFont"/>
    <w:qFormat/>
  </w:style>
  <w:style w:type="paragraph" w:customStyle="1" w:styleId="paragraph">
    <w:name w:val="paragraph"/>
    <w:basedOn w:val="Normal"/>
    <w:qFormat/>
    <w:pPr>
      <w:spacing w:before="100" w:beforeAutospacing="1" w:after="100" w:afterAutospacing="1" w:line="240" w:lineRule="auto"/>
    </w:pPr>
    <w:rPr>
      <w:rFonts w:ascii="Times New Roman" w:eastAsiaTheme="minorEastAsia" w:hAnsi="Times New Roman" w:cstheme="minorBidi"/>
      <w:sz w:val="24"/>
      <w:szCs w:val="24"/>
      <w:lang w:val="en-GB" w:eastAsia="en-GB"/>
    </w:rPr>
  </w:style>
  <w:style w:type="character" w:customStyle="1" w:styleId="eop">
    <w:name w:val="eop"/>
    <w:basedOn w:val="DefaultParagraphFont"/>
    <w:qFormat/>
  </w:style>
  <w:style w:type="character" w:customStyle="1" w:styleId="scxw63843710">
    <w:name w:val="scxw63843710"/>
    <w:basedOn w:val="DefaultParagraphFont"/>
    <w:qFormat/>
  </w:style>
  <w:style w:type="paragraph" w:customStyle="1" w:styleId="TableParagraph">
    <w:name w:val="Table Paragraph"/>
    <w:basedOn w:val="Normal"/>
    <w:uiPriority w:val="1"/>
    <w:qFormat/>
    <w:pPr>
      <w:widowControl w:val="0"/>
      <w:autoSpaceDE w:val="0"/>
      <w:autoSpaceDN w:val="0"/>
      <w:spacing w:before="1" w:after="0" w:line="247" w:lineRule="exact"/>
      <w:ind w:left="110"/>
    </w:pPr>
    <w:rPr>
      <w:rFonts w:ascii="Cambria" w:eastAsia="Cambria" w:hAnsi="Cambria" w:cs="Cambria"/>
    </w:r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Strong">
    <w:name w:val="Strong"/>
    <w:basedOn w:val="DefaultParagraphFont"/>
    <w:uiPriority w:val="22"/>
    <w:qFormat/>
    <w:rsid w:val="004F4225"/>
    <w:rPr>
      <w:b/>
      <w:bCs/>
    </w:rPr>
  </w:style>
  <w:style w:type="paragraph" w:styleId="Revision">
    <w:name w:val="Revision"/>
    <w:hidden/>
    <w:uiPriority w:val="99"/>
    <w:unhideWhenUsed/>
    <w:rsid w:val="00E661B2"/>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F80FE8"/>
    <w:rPr>
      <w:color w:val="605E5C"/>
      <w:shd w:val="clear" w:color="auto" w:fill="E1DFDD"/>
    </w:rPr>
  </w:style>
  <w:style w:type="character" w:styleId="Mention">
    <w:name w:val="Mention"/>
    <w:basedOn w:val="DefaultParagraphFont"/>
    <w:uiPriority w:val="99"/>
    <w:unhideWhenUsed/>
    <w:rsid w:val="00320DE4"/>
    <w:rPr>
      <w:color w:val="2B579A"/>
      <w:shd w:val="clear" w:color="auto" w:fill="E1DFDD"/>
    </w:rPr>
  </w:style>
  <w:style w:type="paragraph" w:customStyle="1" w:styleId="hasulpb-1">
    <w:name w:val="[&amp;:has(+ul)]:pb-1"/>
    <w:basedOn w:val="Normal"/>
    <w:rsid w:val="00241C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6334">
      <w:bodyDiv w:val="1"/>
      <w:marLeft w:val="0"/>
      <w:marRight w:val="0"/>
      <w:marTop w:val="0"/>
      <w:marBottom w:val="0"/>
      <w:divBdr>
        <w:top w:val="none" w:sz="0" w:space="0" w:color="auto"/>
        <w:left w:val="none" w:sz="0" w:space="0" w:color="auto"/>
        <w:bottom w:val="none" w:sz="0" w:space="0" w:color="auto"/>
        <w:right w:val="none" w:sz="0" w:space="0" w:color="auto"/>
      </w:divBdr>
    </w:div>
    <w:div w:id="293020303">
      <w:bodyDiv w:val="1"/>
      <w:marLeft w:val="0"/>
      <w:marRight w:val="0"/>
      <w:marTop w:val="0"/>
      <w:marBottom w:val="0"/>
      <w:divBdr>
        <w:top w:val="none" w:sz="0" w:space="0" w:color="auto"/>
        <w:left w:val="none" w:sz="0" w:space="0" w:color="auto"/>
        <w:bottom w:val="none" w:sz="0" w:space="0" w:color="auto"/>
        <w:right w:val="none" w:sz="0" w:space="0" w:color="auto"/>
      </w:divBdr>
    </w:div>
    <w:div w:id="299120388">
      <w:bodyDiv w:val="1"/>
      <w:marLeft w:val="0"/>
      <w:marRight w:val="0"/>
      <w:marTop w:val="0"/>
      <w:marBottom w:val="0"/>
      <w:divBdr>
        <w:top w:val="none" w:sz="0" w:space="0" w:color="auto"/>
        <w:left w:val="none" w:sz="0" w:space="0" w:color="auto"/>
        <w:bottom w:val="none" w:sz="0" w:space="0" w:color="auto"/>
        <w:right w:val="none" w:sz="0" w:space="0" w:color="auto"/>
      </w:divBdr>
    </w:div>
    <w:div w:id="348145347">
      <w:bodyDiv w:val="1"/>
      <w:marLeft w:val="0"/>
      <w:marRight w:val="0"/>
      <w:marTop w:val="0"/>
      <w:marBottom w:val="0"/>
      <w:divBdr>
        <w:top w:val="none" w:sz="0" w:space="0" w:color="auto"/>
        <w:left w:val="none" w:sz="0" w:space="0" w:color="auto"/>
        <w:bottom w:val="none" w:sz="0" w:space="0" w:color="auto"/>
        <w:right w:val="none" w:sz="0" w:space="0" w:color="auto"/>
      </w:divBdr>
    </w:div>
    <w:div w:id="551968939">
      <w:bodyDiv w:val="1"/>
      <w:marLeft w:val="0"/>
      <w:marRight w:val="0"/>
      <w:marTop w:val="0"/>
      <w:marBottom w:val="0"/>
      <w:divBdr>
        <w:top w:val="none" w:sz="0" w:space="0" w:color="auto"/>
        <w:left w:val="none" w:sz="0" w:space="0" w:color="auto"/>
        <w:bottom w:val="none" w:sz="0" w:space="0" w:color="auto"/>
        <w:right w:val="none" w:sz="0" w:space="0" w:color="auto"/>
      </w:divBdr>
    </w:div>
    <w:div w:id="640576396">
      <w:bodyDiv w:val="1"/>
      <w:marLeft w:val="0"/>
      <w:marRight w:val="0"/>
      <w:marTop w:val="0"/>
      <w:marBottom w:val="0"/>
      <w:divBdr>
        <w:top w:val="none" w:sz="0" w:space="0" w:color="auto"/>
        <w:left w:val="none" w:sz="0" w:space="0" w:color="auto"/>
        <w:bottom w:val="none" w:sz="0" w:space="0" w:color="auto"/>
        <w:right w:val="none" w:sz="0" w:space="0" w:color="auto"/>
      </w:divBdr>
    </w:div>
    <w:div w:id="688676370">
      <w:bodyDiv w:val="1"/>
      <w:marLeft w:val="0"/>
      <w:marRight w:val="0"/>
      <w:marTop w:val="0"/>
      <w:marBottom w:val="0"/>
      <w:divBdr>
        <w:top w:val="none" w:sz="0" w:space="0" w:color="auto"/>
        <w:left w:val="none" w:sz="0" w:space="0" w:color="auto"/>
        <w:bottom w:val="none" w:sz="0" w:space="0" w:color="auto"/>
        <w:right w:val="none" w:sz="0" w:space="0" w:color="auto"/>
      </w:divBdr>
    </w:div>
    <w:div w:id="1130247806">
      <w:bodyDiv w:val="1"/>
      <w:marLeft w:val="0"/>
      <w:marRight w:val="0"/>
      <w:marTop w:val="0"/>
      <w:marBottom w:val="0"/>
      <w:divBdr>
        <w:top w:val="none" w:sz="0" w:space="0" w:color="auto"/>
        <w:left w:val="none" w:sz="0" w:space="0" w:color="auto"/>
        <w:bottom w:val="none" w:sz="0" w:space="0" w:color="auto"/>
        <w:right w:val="none" w:sz="0" w:space="0" w:color="auto"/>
      </w:divBdr>
    </w:div>
    <w:div w:id="1171874160">
      <w:bodyDiv w:val="1"/>
      <w:marLeft w:val="0"/>
      <w:marRight w:val="0"/>
      <w:marTop w:val="0"/>
      <w:marBottom w:val="0"/>
      <w:divBdr>
        <w:top w:val="none" w:sz="0" w:space="0" w:color="auto"/>
        <w:left w:val="none" w:sz="0" w:space="0" w:color="auto"/>
        <w:bottom w:val="none" w:sz="0" w:space="0" w:color="auto"/>
        <w:right w:val="none" w:sz="0" w:space="0" w:color="auto"/>
      </w:divBdr>
    </w:div>
    <w:div w:id="1197885534">
      <w:bodyDiv w:val="1"/>
      <w:marLeft w:val="0"/>
      <w:marRight w:val="0"/>
      <w:marTop w:val="0"/>
      <w:marBottom w:val="0"/>
      <w:divBdr>
        <w:top w:val="none" w:sz="0" w:space="0" w:color="auto"/>
        <w:left w:val="none" w:sz="0" w:space="0" w:color="auto"/>
        <w:bottom w:val="none" w:sz="0" w:space="0" w:color="auto"/>
        <w:right w:val="none" w:sz="0" w:space="0" w:color="auto"/>
      </w:divBdr>
    </w:div>
    <w:div w:id="1251549115">
      <w:bodyDiv w:val="1"/>
      <w:marLeft w:val="0"/>
      <w:marRight w:val="0"/>
      <w:marTop w:val="0"/>
      <w:marBottom w:val="0"/>
      <w:divBdr>
        <w:top w:val="none" w:sz="0" w:space="0" w:color="auto"/>
        <w:left w:val="none" w:sz="0" w:space="0" w:color="auto"/>
        <w:bottom w:val="none" w:sz="0" w:space="0" w:color="auto"/>
        <w:right w:val="none" w:sz="0" w:space="0" w:color="auto"/>
      </w:divBdr>
    </w:div>
    <w:div w:id="1396319318">
      <w:bodyDiv w:val="1"/>
      <w:marLeft w:val="0"/>
      <w:marRight w:val="0"/>
      <w:marTop w:val="0"/>
      <w:marBottom w:val="0"/>
      <w:divBdr>
        <w:top w:val="none" w:sz="0" w:space="0" w:color="auto"/>
        <w:left w:val="none" w:sz="0" w:space="0" w:color="auto"/>
        <w:bottom w:val="none" w:sz="0" w:space="0" w:color="auto"/>
        <w:right w:val="none" w:sz="0" w:space="0" w:color="auto"/>
      </w:divBdr>
    </w:div>
    <w:div w:id="1415666086">
      <w:bodyDiv w:val="1"/>
      <w:marLeft w:val="0"/>
      <w:marRight w:val="0"/>
      <w:marTop w:val="0"/>
      <w:marBottom w:val="0"/>
      <w:divBdr>
        <w:top w:val="none" w:sz="0" w:space="0" w:color="auto"/>
        <w:left w:val="none" w:sz="0" w:space="0" w:color="auto"/>
        <w:bottom w:val="none" w:sz="0" w:space="0" w:color="auto"/>
        <w:right w:val="none" w:sz="0" w:space="0" w:color="auto"/>
      </w:divBdr>
    </w:div>
    <w:div w:id="1651012622">
      <w:bodyDiv w:val="1"/>
      <w:marLeft w:val="0"/>
      <w:marRight w:val="0"/>
      <w:marTop w:val="0"/>
      <w:marBottom w:val="0"/>
      <w:divBdr>
        <w:top w:val="none" w:sz="0" w:space="0" w:color="auto"/>
        <w:left w:val="none" w:sz="0" w:space="0" w:color="auto"/>
        <w:bottom w:val="none" w:sz="0" w:space="0" w:color="auto"/>
        <w:right w:val="none" w:sz="0" w:space="0" w:color="auto"/>
      </w:divBdr>
    </w:div>
    <w:div w:id="167683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s.logistics@savethechildren.org" TargetMode="External"/><Relationship Id="rId18" Type="http://schemas.openxmlformats.org/officeDocument/2006/relationships/hyperlink" Target="mailto:Somalia.GPEProcurement@savethechildre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PowerPoint_Presentation.pptx"/><Relationship Id="rId17" Type="http://schemas.openxmlformats.org/officeDocument/2006/relationships/hyperlink" Target="https://www.contenthubsavethechildren.org/AssetLink/7232150df5di2w8m163s334y22yu75f7.pdf"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malia.GPEProcurement@savethechildre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5c05dcb-91f5-4fad-b83a-156ab5468b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A2E363AAF1A74CB6922B642C169D59" ma:contentTypeVersion="18" ma:contentTypeDescription="Create a new document." ma:contentTypeScope="" ma:versionID="6b312c96b34419034e1fe672dc9466f1">
  <xsd:schema xmlns:xsd="http://www.w3.org/2001/XMLSchema" xmlns:xs="http://www.w3.org/2001/XMLSchema" xmlns:p="http://schemas.microsoft.com/office/2006/metadata/properties" xmlns:ns3="2c418d44-b75c-4b9e-a29f-22dde34c45c1" xmlns:ns4="25c05dcb-91f5-4fad-b83a-156ab5468b87" targetNamespace="http://schemas.microsoft.com/office/2006/metadata/properties" ma:root="true" ma:fieldsID="2193fd162dbf83176f92f70354832d3f" ns3:_="" ns4:_="">
    <xsd:import namespace="2c418d44-b75c-4b9e-a29f-22dde34c45c1"/>
    <xsd:import namespace="25c05dcb-91f5-4fad-b83a-156ab5468b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8d44-b75c-4b9e-a29f-22dde34c4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05dcb-91f5-4fad-b83a-156ab5468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D401E-8A73-4C92-BE2A-4AFF271CE61F}">
  <ds:schemaRefs>
    <ds:schemaRef ds:uri="http://schemas.microsoft.com/sharepoint/v3/contenttype/forms"/>
  </ds:schemaRefs>
</ds:datastoreItem>
</file>

<file path=customXml/itemProps2.xml><?xml version="1.0" encoding="utf-8"?>
<ds:datastoreItem xmlns:ds="http://schemas.openxmlformats.org/officeDocument/2006/customXml" ds:itemID="{FF0114C5-D0B1-4F6F-A8D8-23A016EF2BB9}">
  <ds:schemaRefs>
    <ds:schemaRef ds:uri="http://schemas.openxmlformats.org/officeDocument/2006/bibliography"/>
  </ds:schemaRefs>
</ds:datastoreItem>
</file>

<file path=customXml/itemProps3.xml><?xml version="1.0" encoding="utf-8"?>
<ds:datastoreItem xmlns:ds="http://schemas.openxmlformats.org/officeDocument/2006/customXml" ds:itemID="{202C8AC5-52F7-48DC-97E6-6B4E8D39180E}">
  <ds:schemaRefs>
    <ds:schemaRef ds:uri="http://schemas.microsoft.com/office/2006/metadata/properties"/>
    <ds:schemaRef ds:uri="http://schemas.microsoft.com/office/infopath/2007/PartnerControls"/>
    <ds:schemaRef ds:uri="25c05dcb-91f5-4fad-b83a-156ab5468b87"/>
  </ds:schemaRefs>
</ds:datastoreItem>
</file>

<file path=customXml/itemProps4.xml><?xml version="1.0" encoding="utf-8"?>
<ds:datastoreItem xmlns:ds="http://schemas.openxmlformats.org/officeDocument/2006/customXml" ds:itemID="{232D84D8-2183-4031-98DC-88D7F9E8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8d44-b75c-4b9e-a29f-22dde34c45c1"/>
    <ds:schemaRef ds:uri="25c05dcb-91f5-4fad-b83a-156ab546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Guled Ali, Yusuf</dc:creator>
  <cp:lastModifiedBy>Yusuf, Hamse Abdirahman</cp:lastModifiedBy>
  <cp:revision>3</cp:revision>
  <cp:lastPrinted>2022-08-29T08:52:00Z</cp:lastPrinted>
  <dcterms:created xsi:type="dcterms:W3CDTF">2026-05-07T10:08:00Z</dcterms:created>
  <dcterms:modified xsi:type="dcterms:W3CDTF">2026-05-07T10:17:00Z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0x01010045A2E363AAF1A74CB6922B642C169D59</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raj@redbarnet.dk</vt:lpwstr>
  </property>
  <property fmtid="{D5CDD505-2E9C-101B-9397-08002B2CF9AE}" pid="6" name="MSIP_Label_7840c0f8-1866-4162-ad0f-2d70e03cc773_SetDate">
    <vt:lpwstr>2022-08-01T09:36:00.0317391Z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ActionId">
    <vt:lpwstr>bed4ad95-7c3e-44bd-901d-50f6c4e700ce</vt:lpwstr>
  </property>
  <property fmtid="{D5CDD505-2E9C-101B-9397-08002B2CF9AE}" pid="10" name="MSIP_Label_7840c0f8-1866-4162-ad0f-2d70e03cc773_Extended_MSFT_Method">
    <vt:lpwstr>Automatic</vt:lpwstr>
  </property>
  <property fmtid="{D5CDD505-2E9C-101B-9397-08002B2CF9AE}" pid="11" name="KSOProductBuildVer">
    <vt:lpwstr>1033-12.2.0.17562</vt:lpwstr>
  </property>
  <property fmtid="{D5CDD505-2E9C-101B-9397-08002B2CF9AE}" pid="12" name="ICV">
    <vt:lpwstr>C437F57D7D114E8C82AF451A8DC4427A_12</vt:lpwstr>
  </property>
</Properties>
</file>